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54FC" w:rsidRDefault="008A54FC"/>
    <w:p w:rsidR="008A54FC" w:rsidRPr="0010769E" w:rsidRDefault="008A54FC" w:rsidP="008A54FC">
      <w:pPr>
        <w:jc w:val="center"/>
      </w:pPr>
    </w:p>
    <w:p w:rsidR="008A54FC" w:rsidRPr="0010769E" w:rsidRDefault="008B56EB" w:rsidP="008B56EB">
      <w:pPr>
        <w:jc w:val="right"/>
      </w:pPr>
      <w:r>
        <w:t>FM50(12)032_Annex 4</w:t>
      </w:r>
    </w:p>
    <w:p w:rsidR="008A54FC" w:rsidRPr="0010769E" w:rsidRDefault="008A54FC" w:rsidP="008A54FC"/>
    <w:p w:rsidR="008A54FC" w:rsidRPr="0010769E" w:rsidRDefault="008A54FC" w:rsidP="008A54FC"/>
    <w:p w:rsidR="008A54FC" w:rsidRPr="0010769E" w:rsidRDefault="00DF2C67" w:rsidP="008A54FC">
      <w:pPr>
        <w:jc w:val="center"/>
        <w:rPr>
          <w:b/>
          <w:sz w:val="24"/>
        </w:rPr>
      </w:pPr>
      <w:r>
        <w:rPr>
          <w:b/>
          <w:noProof/>
          <w:sz w:val="24"/>
          <w:szCs w:val="20"/>
          <w:lang w:val="fr-FR" w:eastAsia="fr-FR"/>
        </w:rPr>
        <mc:AlternateContent>
          <mc:Choice Requires="wps">
            <w:drawing>
              <wp:anchor distT="0" distB="0" distL="114300" distR="114300" simplePos="0" relativeHeight="251656192" behindDoc="0" locked="0" layoutInCell="1" allowOverlap="1" wp14:anchorId="4AFE9CE9" wp14:editId="24D675A8">
                <wp:simplePos x="0" y="0"/>
                <wp:positionH relativeFrom="page">
                  <wp:posOffset>0</wp:posOffset>
                </wp:positionH>
                <wp:positionV relativeFrom="page">
                  <wp:posOffset>1714500</wp:posOffset>
                </wp:positionV>
                <wp:extent cx="7560310" cy="1628140"/>
                <wp:effectExtent l="0" t="0" r="0" b="0"/>
                <wp:wrapNone/>
                <wp:docPr id="1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628140"/>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1E35" w:rsidRPr="00080D86" w:rsidRDefault="00E41E35" w:rsidP="008A54FC">
                            <w:pPr>
                              <w:rPr>
                                <w:sz w:val="68"/>
                              </w:rPr>
                            </w:pPr>
                            <w:r w:rsidRPr="00080D86">
                              <w:rPr>
                                <w:color w:val="FFFFFF"/>
                                <w:sz w:val="68"/>
                              </w:rPr>
                              <w:t xml:space="preserve">ECC Report </w:t>
                            </w:r>
                            <w:r>
                              <w:rPr>
                                <w:color w:val="57433E"/>
                                <w:sz w:val="68"/>
                              </w:rPr>
                              <w:t>FM 50</w:t>
                            </w:r>
                          </w:p>
                        </w:txbxContent>
                      </wps:txbx>
                      <wps:bodyPr rot="0" vert="horz" wrap="square" lIns="288000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0;margin-top:135pt;width:595.3pt;height:128.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" fillcolor="#887e6e" stroked="f">
                <v:textbox inset="80mm,15mm">
                  <w:txbxContent>
                    <w:p w:rsidR="00E41E35" w:rsidRPr="00080D86" w:rsidRDefault="00E41E35" w:rsidP="008A54FC">
                      <w:pPr>
                        <w:rPr>
                          <w:sz w:val="68"/>
                        </w:rPr>
                      </w:pPr>
                      <w:r w:rsidRPr="00080D86">
                        <w:rPr>
                          <w:color w:val="FFFFFF"/>
                          <w:sz w:val="68"/>
                        </w:rPr>
                        <w:t xml:space="preserve">ECC Report </w:t>
                      </w:r>
                      <w:r>
                        <w:rPr>
                          <w:color w:val="57433E"/>
                          <w:sz w:val="68"/>
                        </w:rPr>
                        <w:t>FM 50</w:t>
                      </w:r>
                    </w:p>
                  </w:txbxContent>
                </v:textbox>
                <w10:wrap anchorx="page" anchory="page"/>
              </v:shape>
            </w:pict>
          </mc:Fallback>
        </mc:AlternateContent>
      </w:r>
      <w:r>
        <w:rPr>
          <w:b/>
          <w:noProof/>
          <w:sz w:val="24"/>
          <w:szCs w:val="20"/>
          <w:lang w:val="fr-FR" w:eastAsia="fr-FR"/>
        </w:rPr>
        <mc:AlternateContent>
          <mc:Choice Requires="wpg">
            <w:drawing>
              <wp:anchor distT="0" distB="0" distL="114300" distR="114300" simplePos="0" relativeHeight="251657216" behindDoc="0" locked="0" layoutInCell="1" allowOverlap="1" wp14:anchorId="526C6DCB" wp14:editId="24BCF4B1">
                <wp:simplePos x="0" y="0"/>
                <wp:positionH relativeFrom="page">
                  <wp:posOffset>828040</wp:posOffset>
                </wp:positionH>
                <wp:positionV relativeFrom="paragraph">
                  <wp:posOffset>97790</wp:posOffset>
                </wp:positionV>
                <wp:extent cx="1703705" cy="1564640"/>
                <wp:effectExtent l="0" t="104140" r="0" b="20320"/>
                <wp:wrapNone/>
                <wp:docPr id="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margin-left:65.2pt;margin-top:7.7pt;width:134.15pt;height:123.2pt;z-index:25165721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">
                <v:line id="Line 11" o:spid="_x0000_s1027" style="position:absolute;rotation:45;visibility:visible;mso-wrap-style:squar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Xr5MQAAADaAAAADwAAAGRycy9kb3ducmV2LnhtbESPT2vCQBTE74V+h+UVvNVNK4YYXaUU&#10;xT940Va8PrLPJJh9G3ZXjd/eFQo9DjPzG2Yy60wjruR8bVnBRz8BQVxYXXOp4Pdn8Z6B8AFZY2OZ&#10;FNzJw2z6+jLBXNsb7+i6D6WIEPY5KqhCaHMpfVGRQd+3LXH0TtYZDFG6UmqHtwg3jfxMklQarDku&#10;VNjSd0XFeX8xCpbZdp4ei1G9QZdmh8VlfdwMhkr13rqvMYhAXfgP/7VXWsEInlfiDZDT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NevkxAAAANoAAAAPAAAAAAAAAAAA&#10;AAAAAKECAABkcnMvZG93bnJldi54bWxQSwUGAAAAAAQABAD5AAAAkgMAAAAA&#10;" strokecolor="#d2232a" strokeweight="15pt"/>
                <v:line id="Line 12" o:spid="_x0000_s1028" style="position:absolute;rotation:-45;flip:x;visibility:visible;mso-wrap-style:squar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gDcEAAADbAAAADwAAAGRycy9kb3ducmV2LnhtbESPQYvCQAyF74L/YYjgTacKylIdRQRB&#10;T7quHrzFTmyrnUzpjFr//eawsLeE9/Lel/mydZV6URNKzwZGwwQUceZtybmB089m8AUqRGSLlWcy&#10;8KEAy0W3M8fU+jd/0+sYcyUhHFI0UMRYp1qHrCCHYehrYtFuvnEYZW1ybRt8S7ir9DhJptphydJQ&#10;YE3rgrLH8ekM0JXO9xsRHibTy8TlH73bhL0x/V67moGK1MZ/89/11gq+0MsvMoBe/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hWANwQAAANsAAAAPAAAAAAAAAAAAAAAA&#10;AKECAABkcnMvZG93bnJldi54bWxQSwUGAAAAAAQABAD5AAAAjwMAAAAA&#10;" strokecolor="#d2232a" strokeweight="15pt"/>
                <v:line id="Line 13" o:spid="_x0000_s1029" style="position:absolute;rotation:-45;flip:x;visibility:visible;mso-wrap-style:squar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2/9sMAAADbAAAADwAAAGRycy9kb3ducmV2LnhtbERPTWvCQBC9C/0PyxR6EbOxBZE0q1ih&#10;RQ8FY4t4HLLTJDQ7G3fXmP77riB4m8f7nHw5mFb05HxjWcE0SUEQl1Y3XCn4/nqfzEH4gKyxtUwK&#10;/sjDcvEwyjHT9sIF9ftQiRjCPkMFdQhdJqUvazLoE9sRR+7HOoMhQldJ7fASw00rn9N0Jg02HBtq&#10;7GhdU/m7PxsFZ3dC9zF+w8PusArt8aXY9p+FUk+Pw+oVRKAh3MU390bH+VO4/h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dv/bDAAAA2wAAAA8AAAAAAAAAAAAA&#10;AAAAoQIAAGRycy9kb3ducmV2LnhtbFBLBQYAAAAABAAEAPkAAACRAwAAAAA=&#10;" strokecolor="white" strokeweight="15pt"/>
                <v:line id="Line 14" o:spid="_x0000_s1030" style="position:absolute;rotation:-45;flip:x;visibility:visible;mso-wrap-style:squar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8hgcMAAADbAAAADwAAAGRycy9kb3ducmV2LnhtbERPTWvCQBC9F/wPywheitnUgpQ0q2hB&#10;aQ9CY4t4HLLTJJidjbtrTP+9WxB6m8f7nHw5mFb05HxjWcFTkoIgLq1uuFLw/bWZvoDwAVlja5kU&#10;/JKH5WL0kGOm7ZUL6vehEjGEfYYK6hC6TEpf1mTQJ7YjjtyPdQZDhK6S2uE1hptWztJ0Lg02HBtq&#10;7OitpvK0vxgFF3dGt31c4+HzsArt8bn46HeFUpPxsHoFEWgI/+K7+13H+TP4+yUe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PIYHDAAAA2wAAAA8AAAAAAAAAAAAA&#10;AAAAoQIAAGRycy9kb3ducmV2LnhtbFBLBQYAAAAABAAEAPkAAACRAwAAAAA=&#10;" strokecolor="white" strokeweight="15pt"/>
                <v:line id="Line 15" o:spid="_x0000_s1031" style="position:absolute;visibility:visible;mso-wrap-style:squar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PThcEAAADbAAAADwAAAGRycy9kb3ducmV2LnhtbERPTWvCQBC9C/0PyxR6000tiE1dJUgD&#10;3rSa0OuQnWZDs7Npdk3iv3cLhd7m8T5ns5tsKwbqfeNYwfMiAUFcOd1wraC45PM1CB+QNbaOScGN&#10;POy2D7MNptqN/EHDOdQihrBPUYEJoUul9JUhi37hOuLIfbneYoiwr6XucYzhtpXLJFlJiw3HBoMd&#10;7Q1V3+erVZBlyWe7L8r8uNTm/VT+4Ou4Xin19DhlbyACTeFf/Oc+6Dj/BX5/iQfI7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c9OFwQAAANsAAAAPAAAAAAAAAAAAAAAA&#10;AKECAABkcnMvZG93bnJldi54bWxQSwUGAAAAAAQABAD5AAAAjwMAAAAA&#10;" strokecolor="#887e6e" strokeweight="15.5pt"/>
                <w10:wrap anchorx="page"/>
              </v:group>
            </w:pict>
          </mc:Fallback>
        </mc:AlternateContent>
      </w: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rPr>
          <w:b/>
          <w:sz w:val="24"/>
        </w:rPr>
      </w:pPr>
    </w:p>
    <w:p w:rsidR="008A54FC" w:rsidRPr="0010769E" w:rsidRDefault="008A54FC" w:rsidP="008A54FC">
      <w:pPr>
        <w:jc w:val="center"/>
        <w:rPr>
          <w:b/>
          <w:sz w:val="24"/>
        </w:rPr>
      </w:pPr>
    </w:p>
    <w:p w:rsidR="008A54FC" w:rsidRPr="005A00E5" w:rsidRDefault="00536549" w:rsidP="009E47EB">
      <w:pPr>
        <w:pStyle w:val="Reporttitledescription"/>
      </w:pPr>
      <w:r>
        <w:t>[</w:t>
      </w:r>
      <w:r w:rsidRPr="00536549">
        <w:t>Future Harmonised Use of 1452-1492 MHz in CEPT</w:t>
      </w:r>
      <w:r>
        <w:t>]</w:t>
      </w:r>
    </w:p>
    <w:bookmarkStart w:id="0" w:name="Text8"/>
    <w:p w:rsidR="008A54FC" w:rsidRPr="005A00E5" w:rsidRDefault="00A95ACB" w:rsidP="008A54FC">
      <w:pPr>
        <w:pStyle w:val="Reporttitledescription"/>
        <w:rPr>
          <w:b/>
          <w:sz w:val="18"/>
        </w:rPr>
      </w:pPr>
      <w:r>
        <w:rPr>
          <w:b/>
          <w:sz w:val="18"/>
        </w:rPr>
        <w:fldChar w:fldCharType="begin">
          <w:ffData>
            <w:name w:val="Text8"/>
            <w:enabled/>
            <w:calcOnExit w:val="0"/>
            <w:textInput>
              <w:default w:val="Month YYYY (Arial 9pt bold)"/>
            </w:textInput>
          </w:ffData>
        </w:fldChar>
      </w:r>
      <w:r>
        <w:rPr>
          <w:b/>
          <w:sz w:val="18"/>
        </w:rPr>
        <w:instrText xml:space="preserve"> FORMTEXT </w:instrText>
      </w:r>
      <w:r>
        <w:rPr>
          <w:b/>
          <w:sz w:val="18"/>
        </w:rPr>
      </w:r>
      <w:r>
        <w:rPr>
          <w:b/>
          <w:sz w:val="18"/>
        </w:rPr>
        <w:fldChar w:fldCharType="separate"/>
      </w:r>
      <w:r>
        <w:rPr>
          <w:b/>
          <w:noProof/>
          <w:sz w:val="18"/>
        </w:rPr>
        <w:t>Month YYYY (Arial 9pt bold)</w:t>
      </w:r>
      <w:r>
        <w:rPr>
          <w:b/>
          <w:sz w:val="18"/>
        </w:rPr>
        <w:fldChar w:fldCharType="end"/>
      </w:r>
      <w:bookmarkEnd w:id="0"/>
      <w:r w:rsidR="000E42F5">
        <w:rPr>
          <w:b/>
          <w:sz w:val="18"/>
        </w:rPr>
        <w:tab/>
      </w:r>
    </w:p>
    <w:p w:rsidR="008A54FC" w:rsidRPr="00FE1795" w:rsidRDefault="00DF2C67" w:rsidP="008A54FC">
      <w:pPr>
        <w:pStyle w:val="Lastupdated"/>
      </w:pPr>
      <w:r>
        <w:rPr>
          <w:bCs w:val="0"/>
          <w:noProof/>
          <w:szCs w:val="20"/>
          <w:lang w:val="fr-FR" w:eastAsia="fr-FR"/>
        </w:rPr>
        <mc:AlternateContent>
          <mc:Choice Requires="wps">
            <w:drawing>
              <wp:anchor distT="0" distB="0" distL="114300" distR="114300" simplePos="0" relativeHeight="251655168" behindDoc="0" locked="0" layoutInCell="1" allowOverlap="1" wp14:anchorId="0003EC04" wp14:editId="31821465">
                <wp:simplePos x="0" y="0"/>
                <wp:positionH relativeFrom="page">
                  <wp:posOffset>3810</wp:posOffset>
                </wp:positionH>
                <wp:positionV relativeFrom="page">
                  <wp:posOffset>9803765</wp:posOffset>
                </wp:positionV>
                <wp:extent cx="7560310" cy="179705"/>
                <wp:effectExtent l="3810" t="0" r="5080"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3pt;margin-top:771.95pt;width:595.3pt;height:14.1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" fillcolor="#887e6e" stroked="f">
                <v:textbox inset=",15mm"/>
                <w10:wrap anchorx="page" anchory="page"/>
              </v:rect>
            </w:pict>
          </mc:Fallback>
        </mc:AlternateContent>
      </w:r>
      <w:bookmarkStart w:id="1" w:name="Text3"/>
      <w:r w:rsidR="00A95ACB">
        <w:fldChar w:fldCharType="begin">
          <w:ffData>
            <w:name w:val="Text3"/>
            <w:enabled/>
            <w:calcOnExit w:val="0"/>
            <w:textInput>
              <w:default w:val="(last updated: Month YYYY) (Arial 9pt) "/>
            </w:textInput>
          </w:ffData>
        </w:fldChar>
      </w:r>
      <w:r w:rsidR="00A95ACB">
        <w:instrText xml:space="preserve"> FORMTEXT </w:instrText>
      </w:r>
      <w:r w:rsidR="00A95ACB">
        <w:fldChar w:fldCharType="separate"/>
      </w:r>
      <w:r w:rsidR="00A95ACB">
        <w:rPr>
          <w:noProof/>
        </w:rPr>
        <w:t xml:space="preserve">(last updated: Month YYYY) (Arial 9pt) </w:t>
      </w:r>
      <w:r w:rsidR="00A95ACB">
        <w:fldChar w:fldCharType="end"/>
      </w:r>
      <w:bookmarkEnd w:id="1"/>
    </w:p>
    <w:p w:rsidR="008A54FC" w:rsidRDefault="008A54FC">
      <w:pPr>
        <w:rPr>
          <w:lang w:val="en-GB"/>
        </w:rPr>
        <w:sectPr w:rsidR="008A54FC">
          <w:headerReference w:type="even" r:id="rId9"/>
          <w:headerReference w:type="default" r:id="rId10"/>
          <w:headerReference w:type="first" r:id="rId11"/>
          <w:pgSz w:w="11907" w:h="16840" w:code="9"/>
          <w:pgMar w:top="1440" w:right="1134" w:bottom="1440" w:left="1134" w:header="709" w:footer="709" w:gutter="0"/>
          <w:cols w:space="708"/>
          <w:titlePg/>
          <w:docGrid w:linePitch="360"/>
        </w:sectPr>
      </w:pPr>
    </w:p>
    <w:p w:rsidR="008A54FC" w:rsidRDefault="008A54FC" w:rsidP="00797D4C">
      <w:pPr>
        <w:pStyle w:val="Titre1"/>
      </w:pPr>
      <w:bookmarkStart w:id="2" w:name="_Toc322126787"/>
      <w:r>
        <w:lastRenderedPageBreak/>
        <w:t>Executive summary (style: heading 1)</w:t>
      </w:r>
      <w:bookmarkEnd w:id="2"/>
    </w:p>
    <w:p w:rsidR="00A95ACB" w:rsidRDefault="00A95ACB" w:rsidP="008A54FC">
      <w:pPr>
        <w:pStyle w:val="ECCParagraph"/>
      </w:pPr>
      <w:r>
        <w:t>Body text (style: ECC Paragraph)</w:t>
      </w:r>
    </w:p>
    <w:p w:rsidR="008A54FC" w:rsidRDefault="00A95ACB" w:rsidP="008A54FC">
      <w:pPr>
        <w:pStyle w:val="ECCParagraph"/>
      </w:pPr>
      <w:r>
        <w:t>(advice: t</w:t>
      </w:r>
      <w:r w:rsidR="008A54FC">
        <w:t>he Executive Summary should provide a short and concise explanation on the purpose of the respective ECC Report and should clearly indicate the covered subjects to which it applies. In addition, it should clearly explain the application of the document.</w:t>
      </w:r>
      <w:r>
        <w:t>)</w:t>
      </w:r>
      <w:r w:rsidR="008A54FC">
        <w:t xml:space="preserve"> </w:t>
      </w:r>
    </w:p>
    <w:p w:rsidR="008A54FC" w:rsidRDefault="008A54FC" w:rsidP="008A54FC">
      <w:r>
        <w:br w:type="page"/>
      </w:r>
    </w:p>
    <w:p w:rsidR="008A54FC" w:rsidRPr="009B4646" w:rsidRDefault="00DF2C67" w:rsidP="008A54FC">
      <w:pPr>
        <w:rPr>
          <w:b/>
          <w:color w:val="FFFFFF"/>
        </w:rPr>
      </w:pPr>
      <w:r>
        <w:rPr>
          <w:b/>
          <w:noProof/>
          <w:color w:val="FFFFFF"/>
          <w:szCs w:val="20"/>
          <w:lang w:val="fr-FR" w:eastAsia="fr-FR"/>
        </w:rPr>
        <w:lastRenderedPageBreak/>
        <mc:AlternateContent>
          <mc:Choice Requires="wps">
            <w:drawing>
              <wp:anchor distT="0" distB="0" distL="114300" distR="114300" simplePos="0" relativeHeight="251658240" behindDoc="1" locked="0" layoutInCell="1" allowOverlap="1" wp14:anchorId="66553058" wp14:editId="6D2C9CD6">
                <wp:simplePos x="0" y="0"/>
                <wp:positionH relativeFrom="page">
                  <wp:posOffset>0</wp:posOffset>
                </wp:positionH>
                <wp:positionV relativeFrom="page">
                  <wp:posOffset>900430</wp:posOffset>
                </wp:positionV>
                <wp:extent cx="7560310" cy="720090"/>
                <wp:effectExtent l="0" t="0" r="0" b="508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0;margin-top:70.9pt;width:595.3pt;height:56.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uILgAIAAPw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DHq4guAAgAA&#10;/AQAAA4AAAAAAAAAAAAAAAAALgIAAGRycy9lMm9Eb2MueG1sUEsBAi0AFAAGAAgAAAAhAE7OEqXc&#10;AAAACQEAAA8AAAAAAAAAAAAAAAAA2gQAAGRycy9kb3ducmV2LnhtbFBLBQYAAAAABAAEAPMAAADj&#10;BQAAAAA=&#10;" fillcolor="#b0a696" stroked="f">
                <w10:wrap anchorx="page" anchory="page"/>
              </v:rect>
            </w:pict>
          </mc:Fallback>
        </mc:AlternateContent>
      </w:r>
    </w:p>
    <w:p w:rsidR="008B70CD" w:rsidRDefault="008B70CD" w:rsidP="008A54FC">
      <w:pPr>
        <w:rPr>
          <w:b/>
          <w:color w:val="FFFFFF"/>
          <w:szCs w:val="20"/>
        </w:rPr>
      </w:pPr>
    </w:p>
    <w:p w:rsidR="008A54FC" w:rsidRDefault="00763BA3" w:rsidP="008A54FC">
      <w:pPr>
        <w:rPr>
          <w:b/>
          <w:color w:val="FFFFFF"/>
          <w:szCs w:val="20"/>
        </w:rPr>
      </w:pPr>
      <w:r>
        <w:rPr>
          <w:b/>
          <w:color w:val="FFFFFF"/>
          <w:szCs w:val="20"/>
        </w:rPr>
        <w:t>TABLE OF CONTENTS</w:t>
      </w:r>
    </w:p>
    <w:p w:rsidR="00067793" w:rsidRDefault="00067793" w:rsidP="008A54FC">
      <w:pPr>
        <w:rPr>
          <w:b/>
          <w:color w:val="FFFFFF"/>
          <w:szCs w:val="20"/>
        </w:rPr>
      </w:pPr>
    </w:p>
    <w:p w:rsidR="00067793" w:rsidRPr="009B4646" w:rsidRDefault="00067793" w:rsidP="008A54FC">
      <w:pPr>
        <w:rPr>
          <w:b/>
          <w:color w:val="FFFFFF"/>
          <w:szCs w:val="20"/>
        </w:rPr>
      </w:pPr>
    </w:p>
    <w:p w:rsidR="008A54FC" w:rsidRDefault="008A54FC">
      <w:pPr>
        <w:rPr>
          <w:lang w:val="en-GB"/>
        </w:rPr>
      </w:pPr>
    </w:p>
    <w:bookmarkStart w:id="3" w:name="_GoBack"/>
    <w:bookmarkEnd w:id="3"/>
    <w:p w:rsidR="00536549" w:rsidRDefault="008A54FC">
      <w:pPr>
        <w:pStyle w:val="TM1"/>
        <w:rPr>
          <w:rFonts w:asciiTheme="minorHAnsi" w:eastAsiaTheme="minorEastAsia" w:hAnsiTheme="minorHAnsi" w:cstheme="minorBidi"/>
          <w:b w:val="0"/>
          <w:caps w:val="0"/>
          <w:noProof/>
          <w:sz w:val="22"/>
          <w:szCs w:val="22"/>
          <w:lang w:val="fr-FR" w:eastAsia="fr-FR"/>
        </w:rPr>
      </w:pPr>
      <w:r>
        <w:rPr>
          <w:caps w:val="0"/>
          <w:lang w:val="en-GB"/>
        </w:rPr>
        <w:fldChar w:fldCharType="begin"/>
      </w:r>
      <w:r>
        <w:rPr>
          <w:caps w:val="0"/>
          <w:lang w:val="en-GB"/>
        </w:rPr>
        <w:instrText xml:space="preserve"> TOC \o "1-4" \h \z \u </w:instrText>
      </w:r>
      <w:r>
        <w:rPr>
          <w:caps w:val="0"/>
          <w:lang w:val="en-GB"/>
        </w:rPr>
        <w:fldChar w:fldCharType="separate"/>
      </w:r>
      <w:hyperlink w:anchor="_Toc322126787" w:history="1">
        <w:r w:rsidR="00536549" w:rsidRPr="005A2AA4">
          <w:rPr>
            <w:rStyle w:val="Lienhypertexte"/>
            <w:noProof/>
          </w:rPr>
          <w:t>0</w:t>
        </w:r>
        <w:r w:rsidR="00536549">
          <w:rPr>
            <w:rFonts w:asciiTheme="minorHAnsi" w:eastAsiaTheme="minorEastAsia" w:hAnsiTheme="minorHAnsi" w:cstheme="minorBidi"/>
            <w:b w:val="0"/>
            <w:caps w:val="0"/>
            <w:noProof/>
            <w:sz w:val="22"/>
            <w:szCs w:val="22"/>
            <w:lang w:val="fr-FR" w:eastAsia="fr-FR"/>
          </w:rPr>
          <w:tab/>
        </w:r>
        <w:r w:rsidR="00536549" w:rsidRPr="005A2AA4">
          <w:rPr>
            <w:rStyle w:val="Lienhypertexte"/>
            <w:noProof/>
          </w:rPr>
          <w:t>Executive summary (style: heading 1)</w:t>
        </w:r>
        <w:r w:rsidR="00536549">
          <w:rPr>
            <w:noProof/>
            <w:webHidden/>
          </w:rPr>
          <w:tab/>
        </w:r>
        <w:r w:rsidR="00536549">
          <w:rPr>
            <w:noProof/>
            <w:webHidden/>
          </w:rPr>
          <w:fldChar w:fldCharType="begin"/>
        </w:r>
        <w:r w:rsidR="00536549">
          <w:rPr>
            <w:noProof/>
            <w:webHidden/>
          </w:rPr>
          <w:instrText xml:space="preserve"> PAGEREF _Toc322126787 \h </w:instrText>
        </w:r>
        <w:r w:rsidR="00536549">
          <w:rPr>
            <w:noProof/>
            <w:webHidden/>
          </w:rPr>
        </w:r>
        <w:r w:rsidR="00536549">
          <w:rPr>
            <w:noProof/>
            <w:webHidden/>
          </w:rPr>
          <w:fldChar w:fldCharType="separate"/>
        </w:r>
        <w:r w:rsidR="00536549">
          <w:rPr>
            <w:noProof/>
            <w:webHidden/>
          </w:rPr>
          <w:t>2</w:t>
        </w:r>
        <w:r w:rsidR="00536549">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788" w:history="1">
        <w:r w:rsidRPr="005A2AA4">
          <w:rPr>
            <w:rStyle w:val="Lienhypertexte"/>
            <w:noProof/>
          </w:rPr>
          <w:t>1</w:t>
        </w:r>
        <w:r>
          <w:rPr>
            <w:rFonts w:asciiTheme="minorHAnsi" w:eastAsiaTheme="minorEastAsia" w:hAnsiTheme="minorHAnsi" w:cstheme="minorBidi"/>
            <w:b w:val="0"/>
            <w:caps w:val="0"/>
            <w:noProof/>
            <w:sz w:val="22"/>
            <w:szCs w:val="22"/>
            <w:lang w:val="fr-FR" w:eastAsia="fr-FR"/>
          </w:rPr>
          <w:tab/>
        </w:r>
        <w:r w:rsidRPr="005A2AA4">
          <w:rPr>
            <w:rStyle w:val="Lienhypertexte"/>
            <w:noProof/>
          </w:rPr>
          <w:t>Description of the context of the study</w:t>
        </w:r>
        <w:r>
          <w:rPr>
            <w:noProof/>
            <w:webHidden/>
          </w:rPr>
          <w:tab/>
        </w:r>
        <w:r>
          <w:rPr>
            <w:noProof/>
            <w:webHidden/>
          </w:rPr>
          <w:fldChar w:fldCharType="begin"/>
        </w:r>
        <w:r>
          <w:rPr>
            <w:noProof/>
            <w:webHidden/>
          </w:rPr>
          <w:instrText xml:space="preserve"> PAGEREF _Toc322126788 \h </w:instrText>
        </w:r>
        <w:r>
          <w:rPr>
            <w:noProof/>
            <w:webHidden/>
          </w:rPr>
        </w:r>
        <w:r>
          <w:rPr>
            <w:noProof/>
            <w:webHidden/>
          </w:rPr>
          <w:fldChar w:fldCharType="separate"/>
        </w:r>
        <w:r>
          <w:rPr>
            <w:noProof/>
            <w:webHidden/>
          </w:rPr>
          <w:t>6</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89" w:history="1">
        <w:r w:rsidRPr="005A2AA4">
          <w:rPr>
            <w:rStyle w:val="Lienhypertexte"/>
            <w:noProof/>
          </w:rPr>
          <w:t>1.1</w:t>
        </w:r>
        <w:r>
          <w:rPr>
            <w:rFonts w:asciiTheme="minorHAnsi" w:eastAsiaTheme="minorEastAsia" w:hAnsiTheme="minorHAnsi" w:cstheme="minorBidi"/>
            <w:noProof/>
            <w:sz w:val="22"/>
            <w:szCs w:val="22"/>
            <w:lang w:val="fr-FR" w:eastAsia="fr-FR"/>
          </w:rPr>
          <w:tab/>
        </w:r>
        <w:r w:rsidRPr="005A2AA4">
          <w:rPr>
            <w:rStyle w:val="Lienhypertexte"/>
            <w:noProof/>
          </w:rPr>
          <w:t>Regulation within CEPT</w:t>
        </w:r>
        <w:r>
          <w:rPr>
            <w:noProof/>
            <w:webHidden/>
          </w:rPr>
          <w:tab/>
        </w:r>
        <w:r>
          <w:rPr>
            <w:noProof/>
            <w:webHidden/>
          </w:rPr>
          <w:fldChar w:fldCharType="begin"/>
        </w:r>
        <w:r>
          <w:rPr>
            <w:noProof/>
            <w:webHidden/>
          </w:rPr>
          <w:instrText xml:space="preserve"> PAGEREF _Toc322126789 \h </w:instrText>
        </w:r>
        <w:r>
          <w:rPr>
            <w:noProof/>
            <w:webHidden/>
          </w:rPr>
        </w:r>
        <w:r>
          <w:rPr>
            <w:noProof/>
            <w:webHidden/>
          </w:rPr>
          <w:fldChar w:fldCharType="separate"/>
        </w:r>
        <w:r>
          <w:rPr>
            <w:noProof/>
            <w:webHidden/>
          </w:rPr>
          <w:t>6</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0" w:history="1">
        <w:r w:rsidRPr="005A2AA4">
          <w:rPr>
            <w:rStyle w:val="Lienhypertexte"/>
            <w:noProof/>
          </w:rPr>
          <w:t>1.2</w:t>
        </w:r>
        <w:r>
          <w:rPr>
            <w:rFonts w:asciiTheme="minorHAnsi" w:eastAsiaTheme="minorEastAsia" w:hAnsiTheme="minorHAnsi" w:cstheme="minorBidi"/>
            <w:noProof/>
            <w:sz w:val="22"/>
            <w:szCs w:val="22"/>
            <w:lang w:val="fr-FR" w:eastAsia="fr-FR"/>
          </w:rPr>
          <w:tab/>
        </w:r>
        <w:r w:rsidRPr="005A2AA4">
          <w:rPr>
            <w:rStyle w:val="Lienhypertexte"/>
            <w:noProof/>
          </w:rPr>
          <w:t>Description of the current use within CEPT</w:t>
        </w:r>
        <w:r>
          <w:rPr>
            <w:noProof/>
            <w:webHidden/>
          </w:rPr>
          <w:tab/>
        </w:r>
        <w:r>
          <w:rPr>
            <w:noProof/>
            <w:webHidden/>
          </w:rPr>
          <w:fldChar w:fldCharType="begin"/>
        </w:r>
        <w:r>
          <w:rPr>
            <w:noProof/>
            <w:webHidden/>
          </w:rPr>
          <w:instrText xml:space="preserve"> PAGEREF _Toc322126790 \h </w:instrText>
        </w:r>
        <w:r>
          <w:rPr>
            <w:noProof/>
            <w:webHidden/>
          </w:rPr>
        </w:r>
        <w:r>
          <w:rPr>
            <w:noProof/>
            <w:webHidden/>
          </w:rPr>
          <w:fldChar w:fldCharType="separate"/>
        </w:r>
        <w:r>
          <w:rPr>
            <w:noProof/>
            <w:webHidden/>
          </w:rPr>
          <w:t>6</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791" w:history="1">
        <w:r w:rsidRPr="005A2AA4">
          <w:rPr>
            <w:rStyle w:val="Lienhypertexte"/>
            <w:noProof/>
          </w:rPr>
          <w:t>1.2.1</w:t>
        </w:r>
        <w:r>
          <w:rPr>
            <w:rFonts w:asciiTheme="minorHAnsi" w:eastAsiaTheme="minorEastAsia" w:hAnsiTheme="minorHAnsi" w:cstheme="minorBidi"/>
            <w:noProof/>
            <w:sz w:val="22"/>
            <w:szCs w:val="22"/>
            <w:lang w:val="fr-FR" w:eastAsia="fr-FR"/>
          </w:rPr>
          <w:tab/>
        </w:r>
        <w:r w:rsidRPr="005A2AA4">
          <w:rPr>
            <w:rStyle w:val="Lienhypertexte"/>
            <w:noProof/>
          </w:rPr>
          <w:t>Broadcasting T-DAB and S-DAB</w:t>
        </w:r>
        <w:r>
          <w:rPr>
            <w:noProof/>
            <w:webHidden/>
          </w:rPr>
          <w:tab/>
        </w:r>
        <w:r>
          <w:rPr>
            <w:noProof/>
            <w:webHidden/>
          </w:rPr>
          <w:fldChar w:fldCharType="begin"/>
        </w:r>
        <w:r>
          <w:rPr>
            <w:noProof/>
            <w:webHidden/>
          </w:rPr>
          <w:instrText xml:space="preserve"> PAGEREF _Toc322126791 \h </w:instrText>
        </w:r>
        <w:r>
          <w:rPr>
            <w:noProof/>
            <w:webHidden/>
          </w:rPr>
        </w:r>
        <w:r>
          <w:rPr>
            <w:noProof/>
            <w:webHidden/>
          </w:rPr>
          <w:fldChar w:fldCharType="separate"/>
        </w:r>
        <w:r>
          <w:rPr>
            <w:noProof/>
            <w:webHidden/>
          </w:rPr>
          <w:t>6</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792" w:history="1">
        <w:r w:rsidRPr="005A2AA4">
          <w:rPr>
            <w:rStyle w:val="Lienhypertexte"/>
            <w:noProof/>
          </w:rPr>
          <w:t>1.2.2</w:t>
        </w:r>
        <w:r>
          <w:rPr>
            <w:rFonts w:asciiTheme="minorHAnsi" w:eastAsiaTheme="minorEastAsia" w:hAnsiTheme="minorHAnsi" w:cstheme="minorBidi"/>
            <w:noProof/>
            <w:sz w:val="22"/>
            <w:szCs w:val="22"/>
            <w:lang w:val="fr-FR" w:eastAsia="fr-FR"/>
          </w:rPr>
          <w:tab/>
        </w:r>
        <w:r w:rsidRPr="005A2AA4">
          <w:rPr>
            <w:rStyle w:val="Lienhypertexte"/>
            <w:noProof/>
          </w:rPr>
          <w:t>Other uses</w:t>
        </w:r>
        <w:r>
          <w:rPr>
            <w:noProof/>
            <w:webHidden/>
          </w:rPr>
          <w:tab/>
        </w:r>
        <w:r>
          <w:rPr>
            <w:noProof/>
            <w:webHidden/>
          </w:rPr>
          <w:fldChar w:fldCharType="begin"/>
        </w:r>
        <w:r>
          <w:rPr>
            <w:noProof/>
            <w:webHidden/>
          </w:rPr>
          <w:instrText xml:space="preserve"> PAGEREF _Toc322126792 \h </w:instrText>
        </w:r>
        <w:r>
          <w:rPr>
            <w:noProof/>
            <w:webHidden/>
          </w:rPr>
        </w:r>
        <w:r>
          <w:rPr>
            <w:noProof/>
            <w:webHidden/>
          </w:rPr>
          <w:fldChar w:fldCharType="separate"/>
        </w:r>
        <w:r>
          <w:rPr>
            <w:noProof/>
            <w:webHidden/>
          </w:rPr>
          <w:t>7</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3" w:history="1">
        <w:r w:rsidRPr="005A2AA4">
          <w:rPr>
            <w:rStyle w:val="Lienhypertexte"/>
            <w:noProof/>
          </w:rPr>
          <w:t>1.3</w:t>
        </w:r>
        <w:r>
          <w:rPr>
            <w:rFonts w:asciiTheme="minorHAnsi" w:eastAsiaTheme="minorEastAsia" w:hAnsiTheme="minorHAnsi" w:cstheme="minorBidi"/>
            <w:noProof/>
            <w:sz w:val="22"/>
            <w:szCs w:val="22"/>
            <w:lang w:val="fr-FR" w:eastAsia="fr-FR"/>
          </w:rPr>
          <w:tab/>
        </w:r>
        <w:r w:rsidRPr="005A2AA4">
          <w:rPr>
            <w:rStyle w:val="Lienhypertexte"/>
            <w:noProof/>
          </w:rPr>
          <w:t>Current regulations and use outside CEPT</w:t>
        </w:r>
        <w:r>
          <w:rPr>
            <w:noProof/>
            <w:webHidden/>
          </w:rPr>
          <w:tab/>
        </w:r>
        <w:r>
          <w:rPr>
            <w:noProof/>
            <w:webHidden/>
          </w:rPr>
          <w:fldChar w:fldCharType="begin"/>
        </w:r>
        <w:r>
          <w:rPr>
            <w:noProof/>
            <w:webHidden/>
          </w:rPr>
          <w:instrText xml:space="preserve"> PAGEREF _Toc322126793 \h </w:instrText>
        </w:r>
        <w:r>
          <w:rPr>
            <w:noProof/>
            <w:webHidden/>
          </w:rPr>
        </w:r>
        <w:r>
          <w:rPr>
            <w:noProof/>
            <w:webHidden/>
          </w:rPr>
          <w:fldChar w:fldCharType="separate"/>
        </w:r>
        <w:r>
          <w:rPr>
            <w:noProof/>
            <w:webHidden/>
          </w:rPr>
          <w:t>7</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794" w:history="1">
        <w:r w:rsidRPr="005A2AA4">
          <w:rPr>
            <w:rStyle w:val="Lienhypertexte"/>
            <w:noProof/>
          </w:rPr>
          <w:t>2</w:t>
        </w:r>
        <w:r>
          <w:rPr>
            <w:rFonts w:asciiTheme="minorHAnsi" w:eastAsiaTheme="minorEastAsia" w:hAnsiTheme="minorHAnsi" w:cstheme="minorBidi"/>
            <w:b w:val="0"/>
            <w:caps w:val="0"/>
            <w:noProof/>
            <w:sz w:val="22"/>
            <w:szCs w:val="22"/>
            <w:lang w:val="fr-FR" w:eastAsia="fr-FR"/>
          </w:rPr>
          <w:tab/>
        </w:r>
        <w:r w:rsidRPr="005A2AA4">
          <w:rPr>
            <w:rStyle w:val="Lienhypertexte"/>
            <w:noProof/>
          </w:rPr>
          <w:t>Criteria of Impact assessment</w:t>
        </w:r>
        <w:r>
          <w:rPr>
            <w:noProof/>
            <w:webHidden/>
          </w:rPr>
          <w:tab/>
        </w:r>
        <w:r>
          <w:rPr>
            <w:noProof/>
            <w:webHidden/>
          </w:rPr>
          <w:fldChar w:fldCharType="begin"/>
        </w:r>
        <w:r>
          <w:rPr>
            <w:noProof/>
            <w:webHidden/>
          </w:rPr>
          <w:instrText xml:space="preserve"> PAGEREF _Toc322126794 \h </w:instrText>
        </w:r>
        <w:r>
          <w:rPr>
            <w:noProof/>
            <w:webHidden/>
          </w:rPr>
        </w:r>
        <w:r>
          <w:rPr>
            <w:noProof/>
            <w:webHidden/>
          </w:rPr>
          <w:fldChar w:fldCharType="separate"/>
        </w:r>
        <w:r>
          <w:rPr>
            <w:noProof/>
            <w:webHidden/>
          </w:rPr>
          <w:t>8</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5" w:history="1">
        <w:r w:rsidRPr="005A2AA4">
          <w:rPr>
            <w:rStyle w:val="Lienhypertexte"/>
            <w:noProof/>
          </w:rPr>
          <w:t>2.1</w:t>
        </w:r>
        <w:r>
          <w:rPr>
            <w:rFonts w:asciiTheme="minorHAnsi" w:eastAsiaTheme="minorEastAsia" w:hAnsiTheme="minorHAnsi" w:cstheme="minorBidi"/>
            <w:noProof/>
            <w:sz w:val="22"/>
            <w:szCs w:val="22"/>
            <w:lang w:val="fr-FR" w:eastAsia="fr-FR"/>
          </w:rPr>
          <w:tab/>
        </w:r>
        <w:r w:rsidRPr="005A2AA4">
          <w:rPr>
            <w:rStyle w:val="Lienhypertexte"/>
            <w:noProof/>
          </w:rPr>
          <w:t>CRITERIA 1: Compatibility with the current regulatory framework</w:t>
        </w:r>
        <w:r>
          <w:rPr>
            <w:noProof/>
            <w:webHidden/>
          </w:rPr>
          <w:tab/>
        </w:r>
        <w:r>
          <w:rPr>
            <w:noProof/>
            <w:webHidden/>
          </w:rPr>
          <w:fldChar w:fldCharType="begin"/>
        </w:r>
        <w:r>
          <w:rPr>
            <w:noProof/>
            <w:webHidden/>
          </w:rPr>
          <w:instrText xml:space="preserve"> PAGEREF _Toc322126795 \h </w:instrText>
        </w:r>
        <w:r>
          <w:rPr>
            <w:noProof/>
            <w:webHidden/>
          </w:rPr>
        </w:r>
        <w:r>
          <w:rPr>
            <w:noProof/>
            <w:webHidden/>
          </w:rPr>
          <w:fldChar w:fldCharType="separate"/>
        </w:r>
        <w:r>
          <w:rPr>
            <w:noProof/>
            <w:webHidden/>
          </w:rPr>
          <w:t>8</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6" w:history="1">
        <w:r w:rsidRPr="005A2AA4">
          <w:rPr>
            <w:rStyle w:val="Lienhypertexte"/>
            <w:noProof/>
          </w:rPr>
          <w:t>2.2</w:t>
        </w:r>
        <w:r>
          <w:rPr>
            <w:rFonts w:asciiTheme="minorHAnsi" w:eastAsiaTheme="minorEastAsia" w:hAnsiTheme="minorHAnsi" w:cstheme="minorBidi"/>
            <w:noProof/>
            <w:sz w:val="22"/>
            <w:szCs w:val="22"/>
            <w:lang w:val="fr-FR" w:eastAsia="fr-FR"/>
          </w:rPr>
          <w:tab/>
        </w:r>
        <w:r w:rsidRPr="005A2AA4">
          <w:rPr>
            <w:rStyle w:val="Lienhypertexte"/>
            <w:noProof/>
          </w:rPr>
          <w:t>CRITERIA 2: Possibility to share with other applications/uses</w:t>
        </w:r>
        <w:r>
          <w:rPr>
            <w:noProof/>
            <w:webHidden/>
          </w:rPr>
          <w:tab/>
        </w:r>
        <w:r>
          <w:rPr>
            <w:noProof/>
            <w:webHidden/>
          </w:rPr>
          <w:fldChar w:fldCharType="begin"/>
        </w:r>
        <w:r>
          <w:rPr>
            <w:noProof/>
            <w:webHidden/>
          </w:rPr>
          <w:instrText xml:space="preserve"> PAGEREF _Toc322126796 \h </w:instrText>
        </w:r>
        <w:r>
          <w:rPr>
            <w:noProof/>
            <w:webHidden/>
          </w:rPr>
        </w:r>
        <w:r>
          <w:rPr>
            <w:noProof/>
            <w:webHidden/>
          </w:rPr>
          <w:fldChar w:fldCharType="separate"/>
        </w:r>
        <w:r>
          <w:rPr>
            <w:noProof/>
            <w:webHidden/>
          </w:rPr>
          <w:t>8</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7" w:history="1">
        <w:r w:rsidRPr="005A2AA4">
          <w:rPr>
            <w:rStyle w:val="Lienhypertexte"/>
            <w:noProof/>
            <w:lang w:val="en-GB"/>
          </w:rPr>
          <w:t>2.3</w:t>
        </w:r>
        <w:r>
          <w:rPr>
            <w:rFonts w:asciiTheme="minorHAnsi" w:eastAsiaTheme="minorEastAsia" w:hAnsiTheme="minorHAnsi" w:cstheme="minorBidi"/>
            <w:noProof/>
            <w:sz w:val="22"/>
            <w:szCs w:val="22"/>
            <w:lang w:val="fr-FR" w:eastAsia="fr-FR"/>
          </w:rPr>
          <w:tab/>
        </w:r>
        <w:r w:rsidRPr="005A2AA4">
          <w:rPr>
            <w:rStyle w:val="Lienhypertexte"/>
            <w:noProof/>
          </w:rPr>
          <w:t xml:space="preserve">CRITERIA 3: </w:t>
        </w:r>
        <w:r w:rsidRPr="005A2AA4">
          <w:rPr>
            <w:rStyle w:val="Lienhypertexte"/>
            <w:noProof/>
            <w:lang w:val="en-GB"/>
          </w:rPr>
          <w:t>Extent (maximisation) of social and economic benefits</w:t>
        </w:r>
        <w:r>
          <w:rPr>
            <w:noProof/>
            <w:webHidden/>
          </w:rPr>
          <w:tab/>
        </w:r>
        <w:r>
          <w:rPr>
            <w:noProof/>
            <w:webHidden/>
          </w:rPr>
          <w:fldChar w:fldCharType="begin"/>
        </w:r>
        <w:r>
          <w:rPr>
            <w:noProof/>
            <w:webHidden/>
          </w:rPr>
          <w:instrText xml:space="preserve"> PAGEREF _Toc322126797 \h </w:instrText>
        </w:r>
        <w:r>
          <w:rPr>
            <w:noProof/>
            <w:webHidden/>
          </w:rPr>
        </w:r>
        <w:r>
          <w:rPr>
            <w:noProof/>
            <w:webHidden/>
          </w:rPr>
          <w:fldChar w:fldCharType="separate"/>
        </w:r>
        <w:r>
          <w:rPr>
            <w:noProof/>
            <w:webHidden/>
          </w:rPr>
          <w:t>8</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8" w:history="1">
        <w:r w:rsidRPr="005A2AA4">
          <w:rPr>
            <w:rStyle w:val="Lienhypertexte"/>
            <w:noProof/>
            <w:lang w:val="en-GB"/>
          </w:rPr>
          <w:t>2.4</w:t>
        </w:r>
        <w:r>
          <w:rPr>
            <w:rFonts w:asciiTheme="minorHAnsi" w:eastAsiaTheme="minorEastAsia" w:hAnsiTheme="minorHAnsi" w:cstheme="minorBidi"/>
            <w:noProof/>
            <w:sz w:val="22"/>
            <w:szCs w:val="22"/>
            <w:lang w:val="fr-FR" w:eastAsia="fr-FR"/>
          </w:rPr>
          <w:tab/>
        </w:r>
        <w:r w:rsidRPr="005A2AA4">
          <w:rPr>
            <w:rStyle w:val="Lienhypertexte"/>
            <w:noProof/>
          </w:rPr>
          <w:t xml:space="preserve">CRITERIA 4: </w:t>
        </w:r>
        <w:r w:rsidRPr="005A2AA4">
          <w:rPr>
            <w:rStyle w:val="Lienhypertexte"/>
            <w:noProof/>
            <w:lang w:val="en-GB"/>
          </w:rPr>
          <w:t>Timeframe for availability of equipment on a large scale and for application deployment - status of standardisation</w:t>
        </w:r>
        <w:r>
          <w:rPr>
            <w:noProof/>
            <w:webHidden/>
          </w:rPr>
          <w:tab/>
        </w:r>
        <w:r>
          <w:rPr>
            <w:noProof/>
            <w:webHidden/>
          </w:rPr>
          <w:fldChar w:fldCharType="begin"/>
        </w:r>
        <w:r>
          <w:rPr>
            <w:noProof/>
            <w:webHidden/>
          </w:rPr>
          <w:instrText xml:space="preserve"> PAGEREF _Toc322126798 \h </w:instrText>
        </w:r>
        <w:r>
          <w:rPr>
            <w:noProof/>
            <w:webHidden/>
          </w:rPr>
        </w:r>
        <w:r>
          <w:rPr>
            <w:noProof/>
            <w:webHidden/>
          </w:rPr>
          <w:fldChar w:fldCharType="separate"/>
        </w:r>
        <w:r>
          <w:rPr>
            <w:noProof/>
            <w:webHidden/>
          </w:rPr>
          <w:t>8</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799" w:history="1">
        <w:r w:rsidRPr="005A2AA4">
          <w:rPr>
            <w:rStyle w:val="Lienhypertexte"/>
            <w:noProof/>
            <w:lang w:val="en-GB"/>
          </w:rPr>
          <w:t>2.5</w:t>
        </w:r>
        <w:r>
          <w:rPr>
            <w:rFonts w:asciiTheme="minorHAnsi" w:eastAsiaTheme="minorEastAsia" w:hAnsiTheme="minorHAnsi" w:cstheme="minorBidi"/>
            <w:noProof/>
            <w:sz w:val="22"/>
            <w:szCs w:val="22"/>
            <w:lang w:val="fr-FR" w:eastAsia="fr-FR"/>
          </w:rPr>
          <w:tab/>
        </w:r>
        <w:r w:rsidRPr="005A2AA4">
          <w:rPr>
            <w:rStyle w:val="Lienhypertexte"/>
            <w:noProof/>
          </w:rPr>
          <w:t xml:space="preserve">CRITERIA 5: </w:t>
        </w:r>
        <w:r w:rsidRPr="005A2AA4">
          <w:rPr>
            <w:rStyle w:val="Lienhypertexte"/>
            <w:noProof/>
            <w:lang w:val="en-GB"/>
          </w:rPr>
          <w:t>Potential for economy of scale (need and potential for harmonisation within and outside CEPT)</w:t>
        </w:r>
        <w:r>
          <w:rPr>
            <w:noProof/>
            <w:webHidden/>
          </w:rPr>
          <w:tab/>
        </w:r>
        <w:r>
          <w:rPr>
            <w:noProof/>
            <w:webHidden/>
          </w:rPr>
          <w:fldChar w:fldCharType="begin"/>
        </w:r>
        <w:r>
          <w:rPr>
            <w:noProof/>
            <w:webHidden/>
          </w:rPr>
          <w:instrText xml:space="preserve"> PAGEREF _Toc322126799 \h </w:instrText>
        </w:r>
        <w:r>
          <w:rPr>
            <w:noProof/>
            <w:webHidden/>
          </w:rPr>
        </w:r>
        <w:r>
          <w:rPr>
            <w:noProof/>
            <w:webHidden/>
          </w:rPr>
          <w:fldChar w:fldCharType="separate"/>
        </w:r>
        <w:r>
          <w:rPr>
            <w:noProof/>
            <w:webHidden/>
          </w:rPr>
          <w:t>9</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00" w:history="1">
        <w:r w:rsidRPr="005A2AA4">
          <w:rPr>
            <w:rStyle w:val="Lienhypertexte"/>
            <w:noProof/>
          </w:rPr>
          <w:t>3</w:t>
        </w:r>
        <w:r>
          <w:rPr>
            <w:rFonts w:asciiTheme="minorHAnsi" w:eastAsiaTheme="minorEastAsia" w:hAnsiTheme="minorHAnsi" w:cstheme="minorBidi"/>
            <w:b w:val="0"/>
            <w:caps w:val="0"/>
            <w:noProof/>
            <w:sz w:val="22"/>
            <w:szCs w:val="22"/>
            <w:lang w:val="fr-FR" w:eastAsia="fr-FR"/>
          </w:rPr>
          <w:tab/>
        </w:r>
        <w:r w:rsidRPr="005A2AA4">
          <w:rPr>
            <w:rStyle w:val="Lienhypertexte"/>
            <w:noProof/>
          </w:rPr>
          <w:t>Description of the candidate applications, including spectrum needs</w:t>
        </w:r>
        <w:r>
          <w:rPr>
            <w:noProof/>
            <w:webHidden/>
          </w:rPr>
          <w:tab/>
        </w:r>
        <w:r>
          <w:rPr>
            <w:noProof/>
            <w:webHidden/>
          </w:rPr>
          <w:fldChar w:fldCharType="begin"/>
        </w:r>
        <w:r>
          <w:rPr>
            <w:noProof/>
            <w:webHidden/>
          </w:rPr>
          <w:instrText xml:space="preserve"> PAGEREF _Toc322126800 \h </w:instrText>
        </w:r>
        <w:r>
          <w:rPr>
            <w:noProof/>
            <w:webHidden/>
          </w:rPr>
        </w:r>
        <w:r>
          <w:rPr>
            <w:noProof/>
            <w:webHidden/>
          </w:rPr>
          <w:fldChar w:fldCharType="separate"/>
        </w:r>
        <w:r>
          <w:rPr>
            <w:noProof/>
            <w:webHidden/>
          </w:rPr>
          <w:t>10</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01" w:history="1">
        <w:r w:rsidRPr="005A2AA4">
          <w:rPr>
            <w:rStyle w:val="Lienhypertexte"/>
            <w:noProof/>
          </w:rPr>
          <w:t>3.1</w:t>
        </w:r>
        <w:r>
          <w:rPr>
            <w:rFonts w:asciiTheme="minorHAnsi" w:eastAsiaTheme="minorEastAsia" w:hAnsiTheme="minorHAnsi" w:cstheme="minorBidi"/>
            <w:noProof/>
            <w:sz w:val="22"/>
            <w:szCs w:val="22"/>
            <w:lang w:val="fr-FR" w:eastAsia="fr-FR"/>
          </w:rPr>
          <w:tab/>
        </w:r>
        <w:r w:rsidRPr="005A2AA4">
          <w:rPr>
            <w:rStyle w:val="Lienhypertexte"/>
            <w:noProof/>
          </w:rPr>
          <w:t>application one: Terrestrial broadcasting</w:t>
        </w:r>
        <w:r>
          <w:rPr>
            <w:noProof/>
            <w:webHidden/>
          </w:rPr>
          <w:tab/>
        </w:r>
        <w:r>
          <w:rPr>
            <w:noProof/>
            <w:webHidden/>
          </w:rPr>
          <w:fldChar w:fldCharType="begin"/>
        </w:r>
        <w:r>
          <w:rPr>
            <w:noProof/>
            <w:webHidden/>
          </w:rPr>
          <w:instrText xml:space="preserve"> PAGEREF _Toc322126801 \h </w:instrText>
        </w:r>
        <w:r>
          <w:rPr>
            <w:noProof/>
            <w:webHidden/>
          </w:rPr>
        </w:r>
        <w:r>
          <w:rPr>
            <w:noProof/>
            <w:webHidden/>
          </w:rPr>
          <w:fldChar w:fldCharType="separate"/>
        </w:r>
        <w:r>
          <w:rPr>
            <w:noProof/>
            <w:webHidden/>
          </w:rPr>
          <w:t>10</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02" w:history="1">
        <w:r w:rsidRPr="005A2AA4">
          <w:rPr>
            <w:rStyle w:val="Lienhypertexte"/>
            <w:iCs/>
            <w:noProof/>
          </w:rPr>
          <w:t>3.1.1</w:t>
        </w:r>
        <w:r>
          <w:rPr>
            <w:rFonts w:asciiTheme="minorHAnsi" w:eastAsiaTheme="minorEastAsia" w:hAnsiTheme="minorHAnsi" w:cstheme="minorBidi"/>
            <w:noProof/>
            <w:sz w:val="22"/>
            <w:szCs w:val="22"/>
            <w:lang w:val="fr-FR" w:eastAsia="fr-FR"/>
          </w:rPr>
          <w:tab/>
        </w:r>
        <w:r w:rsidRPr="005A2AA4">
          <w:rPr>
            <w:rStyle w:val="Lienhypertexte"/>
            <w:noProof/>
          </w:rPr>
          <w:t>Description</w:t>
        </w:r>
        <w:r>
          <w:rPr>
            <w:noProof/>
            <w:webHidden/>
          </w:rPr>
          <w:tab/>
        </w:r>
        <w:r>
          <w:rPr>
            <w:noProof/>
            <w:webHidden/>
          </w:rPr>
          <w:fldChar w:fldCharType="begin"/>
        </w:r>
        <w:r>
          <w:rPr>
            <w:noProof/>
            <w:webHidden/>
          </w:rPr>
          <w:instrText xml:space="preserve"> PAGEREF _Toc322126802 \h </w:instrText>
        </w:r>
        <w:r>
          <w:rPr>
            <w:noProof/>
            <w:webHidden/>
          </w:rPr>
        </w:r>
        <w:r>
          <w:rPr>
            <w:noProof/>
            <w:webHidden/>
          </w:rPr>
          <w:fldChar w:fldCharType="separate"/>
        </w:r>
        <w:r>
          <w:rPr>
            <w:noProof/>
            <w:webHidden/>
          </w:rPr>
          <w:t>10</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03" w:history="1">
        <w:r w:rsidRPr="005A2AA4">
          <w:rPr>
            <w:rStyle w:val="Lienhypertexte"/>
            <w:noProof/>
          </w:rPr>
          <w:t>3.1.2</w:t>
        </w:r>
        <w:r>
          <w:rPr>
            <w:rFonts w:asciiTheme="minorHAnsi" w:eastAsiaTheme="minorEastAsia" w:hAnsiTheme="minorHAnsi" w:cstheme="minorBidi"/>
            <w:noProof/>
            <w:sz w:val="22"/>
            <w:szCs w:val="22"/>
            <w:lang w:val="fr-FR" w:eastAsia="fr-FR"/>
          </w:rPr>
          <w:tab/>
        </w:r>
        <w:r w:rsidRPr="005A2AA4">
          <w:rPr>
            <w:rStyle w:val="Lienhypertexte"/>
            <w:noProof/>
          </w:rPr>
          <w:t>Justification</w:t>
        </w:r>
        <w:r>
          <w:rPr>
            <w:noProof/>
            <w:webHidden/>
          </w:rPr>
          <w:tab/>
        </w:r>
        <w:r>
          <w:rPr>
            <w:noProof/>
            <w:webHidden/>
          </w:rPr>
          <w:fldChar w:fldCharType="begin"/>
        </w:r>
        <w:r>
          <w:rPr>
            <w:noProof/>
            <w:webHidden/>
          </w:rPr>
          <w:instrText xml:space="preserve"> PAGEREF _Toc322126803 \h </w:instrText>
        </w:r>
        <w:r>
          <w:rPr>
            <w:noProof/>
            <w:webHidden/>
          </w:rPr>
        </w:r>
        <w:r>
          <w:rPr>
            <w:noProof/>
            <w:webHidden/>
          </w:rPr>
          <w:fldChar w:fldCharType="separate"/>
        </w:r>
        <w:r>
          <w:rPr>
            <w:noProof/>
            <w:webHidden/>
          </w:rPr>
          <w:t>11</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04" w:history="1">
        <w:r w:rsidRPr="005A2AA4">
          <w:rPr>
            <w:rStyle w:val="Lienhypertexte"/>
            <w:noProof/>
          </w:rPr>
          <w:t>3.1.1</w:t>
        </w:r>
        <w:r>
          <w:rPr>
            <w:rFonts w:asciiTheme="minorHAnsi" w:eastAsiaTheme="minorEastAsia" w:hAnsiTheme="minorHAnsi" w:cstheme="minorBidi"/>
            <w:noProof/>
            <w:sz w:val="22"/>
            <w:szCs w:val="22"/>
            <w:lang w:val="fr-FR" w:eastAsia="fr-FR"/>
          </w:rPr>
          <w:tab/>
        </w:r>
        <w:r w:rsidRPr="005A2AA4">
          <w:rPr>
            <w:rStyle w:val="Lienhypertexte"/>
            <w:noProof/>
          </w:rPr>
          <w:t>Spectrum requirements</w:t>
        </w:r>
        <w:r>
          <w:rPr>
            <w:noProof/>
            <w:webHidden/>
          </w:rPr>
          <w:tab/>
        </w:r>
        <w:r>
          <w:rPr>
            <w:noProof/>
            <w:webHidden/>
          </w:rPr>
          <w:fldChar w:fldCharType="begin"/>
        </w:r>
        <w:r>
          <w:rPr>
            <w:noProof/>
            <w:webHidden/>
          </w:rPr>
          <w:instrText xml:space="preserve"> PAGEREF _Toc322126804 \h </w:instrText>
        </w:r>
        <w:r>
          <w:rPr>
            <w:noProof/>
            <w:webHidden/>
          </w:rPr>
        </w:r>
        <w:r>
          <w:rPr>
            <w:noProof/>
            <w:webHidden/>
          </w:rPr>
          <w:fldChar w:fldCharType="separate"/>
        </w:r>
        <w:r>
          <w:rPr>
            <w:noProof/>
            <w:webHidden/>
          </w:rPr>
          <w:t>12</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05" w:history="1">
        <w:r w:rsidRPr="005A2AA4">
          <w:rPr>
            <w:rStyle w:val="Lienhypertexte"/>
            <w:noProof/>
          </w:rPr>
          <w:t>3.2</w:t>
        </w:r>
        <w:r>
          <w:rPr>
            <w:rFonts w:asciiTheme="minorHAnsi" w:eastAsiaTheme="minorEastAsia" w:hAnsiTheme="minorHAnsi" w:cstheme="minorBidi"/>
            <w:noProof/>
            <w:sz w:val="22"/>
            <w:szCs w:val="22"/>
            <w:lang w:val="fr-FR" w:eastAsia="fr-FR"/>
          </w:rPr>
          <w:tab/>
        </w:r>
        <w:r w:rsidRPr="005A2AA4">
          <w:rPr>
            <w:rStyle w:val="Lienhypertexte"/>
            <w:noProof/>
          </w:rPr>
          <w:t>application two: Mobile broadband</w:t>
        </w:r>
        <w:r>
          <w:rPr>
            <w:noProof/>
            <w:webHidden/>
          </w:rPr>
          <w:tab/>
        </w:r>
        <w:r>
          <w:rPr>
            <w:noProof/>
            <w:webHidden/>
          </w:rPr>
          <w:fldChar w:fldCharType="begin"/>
        </w:r>
        <w:r>
          <w:rPr>
            <w:noProof/>
            <w:webHidden/>
          </w:rPr>
          <w:instrText xml:space="preserve"> PAGEREF _Toc322126805 \h </w:instrText>
        </w:r>
        <w:r>
          <w:rPr>
            <w:noProof/>
            <w:webHidden/>
          </w:rPr>
        </w:r>
        <w:r>
          <w:rPr>
            <w:noProof/>
            <w:webHidden/>
          </w:rPr>
          <w:fldChar w:fldCharType="separate"/>
        </w:r>
        <w:r>
          <w:rPr>
            <w:noProof/>
            <w:webHidden/>
          </w:rPr>
          <w:t>12</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06" w:history="1">
        <w:r w:rsidRPr="005A2AA4">
          <w:rPr>
            <w:rStyle w:val="Lienhypertexte"/>
            <w:noProof/>
          </w:rPr>
          <w:t>3.2.1</w:t>
        </w:r>
        <w:r>
          <w:rPr>
            <w:rFonts w:asciiTheme="minorHAnsi" w:eastAsiaTheme="minorEastAsia" w:hAnsiTheme="minorHAnsi" w:cstheme="minorBidi"/>
            <w:noProof/>
            <w:sz w:val="22"/>
            <w:szCs w:val="22"/>
            <w:lang w:val="fr-FR" w:eastAsia="fr-FR"/>
          </w:rPr>
          <w:tab/>
        </w:r>
        <w:r w:rsidRPr="005A2AA4">
          <w:rPr>
            <w:rStyle w:val="Lienhypertexte"/>
            <w:noProof/>
          </w:rPr>
          <w:t>Description</w:t>
        </w:r>
        <w:r>
          <w:rPr>
            <w:noProof/>
            <w:webHidden/>
          </w:rPr>
          <w:tab/>
        </w:r>
        <w:r>
          <w:rPr>
            <w:noProof/>
            <w:webHidden/>
          </w:rPr>
          <w:fldChar w:fldCharType="begin"/>
        </w:r>
        <w:r>
          <w:rPr>
            <w:noProof/>
            <w:webHidden/>
          </w:rPr>
          <w:instrText xml:space="preserve"> PAGEREF _Toc322126806 \h </w:instrText>
        </w:r>
        <w:r>
          <w:rPr>
            <w:noProof/>
            <w:webHidden/>
          </w:rPr>
        </w:r>
        <w:r>
          <w:rPr>
            <w:noProof/>
            <w:webHidden/>
          </w:rPr>
          <w:fldChar w:fldCharType="separate"/>
        </w:r>
        <w:r>
          <w:rPr>
            <w:noProof/>
            <w:webHidden/>
          </w:rPr>
          <w:t>12</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07" w:history="1">
        <w:r w:rsidRPr="005A2AA4">
          <w:rPr>
            <w:rStyle w:val="Lienhypertexte"/>
            <w:noProof/>
          </w:rPr>
          <w:t>3.2.2</w:t>
        </w:r>
        <w:r>
          <w:rPr>
            <w:rFonts w:asciiTheme="minorHAnsi" w:eastAsiaTheme="minorEastAsia" w:hAnsiTheme="minorHAnsi" w:cstheme="minorBidi"/>
            <w:noProof/>
            <w:sz w:val="22"/>
            <w:szCs w:val="22"/>
            <w:lang w:val="fr-FR" w:eastAsia="fr-FR"/>
          </w:rPr>
          <w:tab/>
        </w:r>
        <w:r w:rsidRPr="005A2AA4">
          <w:rPr>
            <w:rStyle w:val="Lienhypertexte"/>
            <w:noProof/>
          </w:rPr>
          <w:t>Justification</w:t>
        </w:r>
        <w:r>
          <w:rPr>
            <w:noProof/>
            <w:webHidden/>
          </w:rPr>
          <w:tab/>
        </w:r>
        <w:r>
          <w:rPr>
            <w:noProof/>
            <w:webHidden/>
          </w:rPr>
          <w:fldChar w:fldCharType="begin"/>
        </w:r>
        <w:r>
          <w:rPr>
            <w:noProof/>
            <w:webHidden/>
          </w:rPr>
          <w:instrText xml:space="preserve"> PAGEREF _Toc322126807 \h </w:instrText>
        </w:r>
        <w:r>
          <w:rPr>
            <w:noProof/>
            <w:webHidden/>
          </w:rPr>
        </w:r>
        <w:r>
          <w:rPr>
            <w:noProof/>
            <w:webHidden/>
          </w:rPr>
          <w:fldChar w:fldCharType="separate"/>
        </w:r>
        <w:r>
          <w:rPr>
            <w:noProof/>
            <w:webHidden/>
          </w:rPr>
          <w:t>13</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08" w:history="1">
        <w:r w:rsidRPr="005A2AA4">
          <w:rPr>
            <w:rStyle w:val="Lienhypertexte"/>
            <w:noProof/>
          </w:rPr>
          <w:t>3.2.3</w:t>
        </w:r>
        <w:r>
          <w:rPr>
            <w:rFonts w:asciiTheme="minorHAnsi" w:eastAsiaTheme="minorEastAsia" w:hAnsiTheme="minorHAnsi" w:cstheme="minorBidi"/>
            <w:noProof/>
            <w:sz w:val="22"/>
            <w:szCs w:val="22"/>
            <w:lang w:val="fr-FR" w:eastAsia="fr-FR"/>
          </w:rPr>
          <w:tab/>
        </w:r>
        <w:r w:rsidRPr="005A2AA4">
          <w:rPr>
            <w:rStyle w:val="Lienhypertexte"/>
            <w:noProof/>
          </w:rPr>
          <w:t>Spectrum requirements</w:t>
        </w:r>
        <w:r>
          <w:rPr>
            <w:noProof/>
            <w:webHidden/>
          </w:rPr>
          <w:tab/>
        </w:r>
        <w:r>
          <w:rPr>
            <w:noProof/>
            <w:webHidden/>
          </w:rPr>
          <w:fldChar w:fldCharType="begin"/>
        </w:r>
        <w:r>
          <w:rPr>
            <w:noProof/>
            <w:webHidden/>
          </w:rPr>
          <w:instrText xml:space="preserve"> PAGEREF _Toc322126808 \h </w:instrText>
        </w:r>
        <w:r>
          <w:rPr>
            <w:noProof/>
            <w:webHidden/>
          </w:rPr>
        </w:r>
        <w:r>
          <w:rPr>
            <w:noProof/>
            <w:webHidden/>
          </w:rPr>
          <w:fldChar w:fldCharType="separate"/>
        </w:r>
        <w:r>
          <w:rPr>
            <w:noProof/>
            <w:webHidden/>
          </w:rPr>
          <w:t>13</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09" w:history="1">
        <w:r w:rsidRPr="005A2AA4">
          <w:rPr>
            <w:rStyle w:val="Lienhypertexte"/>
            <w:noProof/>
          </w:rPr>
          <w:t>3.3</w:t>
        </w:r>
        <w:r>
          <w:rPr>
            <w:rFonts w:asciiTheme="minorHAnsi" w:eastAsiaTheme="minorEastAsia" w:hAnsiTheme="minorHAnsi" w:cstheme="minorBidi"/>
            <w:noProof/>
            <w:sz w:val="22"/>
            <w:szCs w:val="22"/>
            <w:lang w:val="fr-FR" w:eastAsia="fr-FR"/>
          </w:rPr>
          <w:tab/>
        </w:r>
        <w:r w:rsidRPr="005A2AA4">
          <w:rPr>
            <w:rStyle w:val="Lienhypertexte"/>
            <w:noProof/>
          </w:rPr>
          <w:t>application three: Mobile SUPPLEMENTAL downlink</w:t>
        </w:r>
        <w:r>
          <w:rPr>
            <w:noProof/>
            <w:webHidden/>
          </w:rPr>
          <w:tab/>
        </w:r>
        <w:r>
          <w:rPr>
            <w:noProof/>
            <w:webHidden/>
          </w:rPr>
          <w:fldChar w:fldCharType="begin"/>
        </w:r>
        <w:r>
          <w:rPr>
            <w:noProof/>
            <w:webHidden/>
          </w:rPr>
          <w:instrText xml:space="preserve"> PAGEREF _Toc322126809 \h </w:instrText>
        </w:r>
        <w:r>
          <w:rPr>
            <w:noProof/>
            <w:webHidden/>
          </w:rPr>
        </w:r>
        <w:r>
          <w:rPr>
            <w:noProof/>
            <w:webHidden/>
          </w:rPr>
          <w:fldChar w:fldCharType="separate"/>
        </w:r>
        <w:r>
          <w:rPr>
            <w:noProof/>
            <w:webHidden/>
          </w:rPr>
          <w:t>13</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0" w:history="1">
        <w:r w:rsidRPr="005A2AA4">
          <w:rPr>
            <w:rStyle w:val="Lienhypertexte"/>
            <w:noProof/>
          </w:rPr>
          <w:t>3.3.1</w:t>
        </w:r>
        <w:r>
          <w:rPr>
            <w:rFonts w:asciiTheme="minorHAnsi" w:eastAsiaTheme="minorEastAsia" w:hAnsiTheme="minorHAnsi" w:cstheme="minorBidi"/>
            <w:noProof/>
            <w:sz w:val="22"/>
            <w:szCs w:val="22"/>
            <w:lang w:val="fr-FR" w:eastAsia="fr-FR"/>
          </w:rPr>
          <w:tab/>
        </w:r>
        <w:r w:rsidRPr="005A2AA4">
          <w:rPr>
            <w:rStyle w:val="Lienhypertexte"/>
            <w:noProof/>
          </w:rPr>
          <w:t>Description</w:t>
        </w:r>
        <w:r>
          <w:rPr>
            <w:noProof/>
            <w:webHidden/>
          </w:rPr>
          <w:tab/>
        </w:r>
        <w:r>
          <w:rPr>
            <w:noProof/>
            <w:webHidden/>
          </w:rPr>
          <w:fldChar w:fldCharType="begin"/>
        </w:r>
        <w:r>
          <w:rPr>
            <w:noProof/>
            <w:webHidden/>
          </w:rPr>
          <w:instrText xml:space="preserve"> PAGEREF _Toc322126810 \h </w:instrText>
        </w:r>
        <w:r>
          <w:rPr>
            <w:noProof/>
            <w:webHidden/>
          </w:rPr>
        </w:r>
        <w:r>
          <w:rPr>
            <w:noProof/>
            <w:webHidden/>
          </w:rPr>
          <w:fldChar w:fldCharType="separate"/>
        </w:r>
        <w:r>
          <w:rPr>
            <w:noProof/>
            <w:webHidden/>
          </w:rPr>
          <w:t>13</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1" w:history="1">
        <w:r w:rsidRPr="005A2AA4">
          <w:rPr>
            <w:rStyle w:val="Lienhypertexte"/>
            <w:noProof/>
          </w:rPr>
          <w:t>3.3.2</w:t>
        </w:r>
        <w:r>
          <w:rPr>
            <w:rFonts w:asciiTheme="minorHAnsi" w:eastAsiaTheme="minorEastAsia" w:hAnsiTheme="minorHAnsi" w:cstheme="minorBidi"/>
            <w:noProof/>
            <w:sz w:val="22"/>
            <w:szCs w:val="22"/>
            <w:lang w:val="fr-FR" w:eastAsia="fr-FR"/>
          </w:rPr>
          <w:tab/>
        </w:r>
        <w:r w:rsidRPr="005A2AA4">
          <w:rPr>
            <w:rStyle w:val="Lienhypertexte"/>
            <w:noProof/>
          </w:rPr>
          <w:t>Justification</w:t>
        </w:r>
        <w:r>
          <w:rPr>
            <w:noProof/>
            <w:webHidden/>
          </w:rPr>
          <w:tab/>
        </w:r>
        <w:r>
          <w:rPr>
            <w:noProof/>
            <w:webHidden/>
          </w:rPr>
          <w:fldChar w:fldCharType="begin"/>
        </w:r>
        <w:r>
          <w:rPr>
            <w:noProof/>
            <w:webHidden/>
          </w:rPr>
          <w:instrText xml:space="preserve"> PAGEREF _Toc322126811 \h </w:instrText>
        </w:r>
        <w:r>
          <w:rPr>
            <w:noProof/>
            <w:webHidden/>
          </w:rPr>
        </w:r>
        <w:r>
          <w:rPr>
            <w:noProof/>
            <w:webHidden/>
          </w:rPr>
          <w:fldChar w:fldCharType="separate"/>
        </w:r>
        <w:r>
          <w:rPr>
            <w:noProof/>
            <w:webHidden/>
          </w:rPr>
          <w:t>15</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2" w:history="1">
        <w:r w:rsidRPr="005A2AA4">
          <w:rPr>
            <w:rStyle w:val="Lienhypertexte"/>
            <w:noProof/>
          </w:rPr>
          <w:t>3.3.3</w:t>
        </w:r>
        <w:r>
          <w:rPr>
            <w:rFonts w:asciiTheme="minorHAnsi" w:eastAsiaTheme="minorEastAsia" w:hAnsiTheme="minorHAnsi" w:cstheme="minorBidi"/>
            <w:noProof/>
            <w:sz w:val="22"/>
            <w:szCs w:val="22"/>
            <w:lang w:val="fr-FR" w:eastAsia="fr-FR"/>
          </w:rPr>
          <w:tab/>
        </w:r>
        <w:r w:rsidRPr="005A2AA4">
          <w:rPr>
            <w:rStyle w:val="Lienhypertexte"/>
            <w:noProof/>
          </w:rPr>
          <w:t>Spectrum requirements</w:t>
        </w:r>
        <w:r>
          <w:rPr>
            <w:noProof/>
            <w:webHidden/>
          </w:rPr>
          <w:tab/>
        </w:r>
        <w:r>
          <w:rPr>
            <w:noProof/>
            <w:webHidden/>
          </w:rPr>
          <w:fldChar w:fldCharType="begin"/>
        </w:r>
        <w:r>
          <w:rPr>
            <w:noProof/>
            <w:webHidden/>
          </w:rPr>
          <w:instrText xml:space="preserve"> PAGEREF _Toc322126812 \h </w:instrText>
        </w:r>
        <w:r>
          <w:rPr>
            <w:noProof/>
            <w:webHidden/>
          </w:rPr>
        </w:r>
        <w:r>
          <w:rPr>
            <w:noProof/>
            <w:webHidden/>
          </w:rPr>
          <w:fldChar w:fldCharType="separate"/>
        </w:r>
        <w:r>
          <w:rPr>
            <w:noProof/>
            <w:webHidden/>
          </w:rPr>
          <w:t>15</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13" w:history="1">
        <w:r w:rsidRPr="005A2AA4">
          <w:rPr>
            <w:rStyle w:val="Lienhypertexte"/>
            <w:noProof/>
          </w:rPr>
          <w:t>3.4</w:t>
        </w:r>
        <w:r>
          <w:rPr>
            <w:rFonts w:asciiTheme="minorHAnsi" w:eastAsiaTheme="minorEastAsia" w:hAnsiTheme="minorHAnsi" w:cstheme="minorBidi"/>
            <w:noProof/>
            <w:sz w:val="22"/>
            <w:szCs w:val="22"/>
            <w:lang w:val="fr-FR" w:eastAsia="fr-FR"/>
          </w:rPr>
          <w:tab/>
        </w:r>
        <w:r w:rsidRPr="005A2AA4">
          <w:rPr>
            <w:rStyle w:val="Lienhypertexte"/>
            <w:noProof/>
          </w:rPr>
          <w:t>application four: Satellite DIGITAL AUDIO BROADCASTING (S-DAB)</w:t>
        </w:r>
        <w:r>
          <w:rPr>
            <w:noProof/>
            <w:webHidden/>
          </w:rPr>
          <w:tab/>
        </w:r>
        <w:r>
          <w:rPr>
            <w:noProof/>
            <w:webHidden/>
          </w:rPr>
          <w:fldChar w:fldCharType="begin"/>
        </w:r>
        <w:r>
          <w:rPr>
            <w:noProof/>
            <w:webHidden/>
          </w:rPr>
          <w:instrText xml:space="preserve"> PAGEREF _Toc322126813 \h </w:instrText>
        </w:r>
        <w:r>
          <w:rPr>
            <w:noProof/>
            <w:webHidden/>
          </w:rPr>
        </w:r>
        <w:r>
          <w:rPr>
            <w:noProof/>
            <w:webHidden/>
          </w:rPr>
          <w:fldChar w:fldCharType="separate"/>
        </w:r>
        <w:r>
          <w:rPr>
            <w:noProof/>
            <w:webHidden/>
          </w:rPr>
          <w:t>16</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4" w:history="1">
        <w:r w:rsidRPr="005A2AA4">
          <w:rPr>
            <w:rStyle w:val="Lienhypertexte"/>
            <w:noProof/>
          </w:rPr>
          <w:t>3.4.1</w:t>
        </w:r>
        <w:r>
          <w:rPr>
            <w:rFonts w:asciiTheme="minorHAnsi" w:eastAsiaTheme="minorEastAsia" w:hAnsiTheme="minorHAnsi" w:cstheme="minorBidi"/>
            <w:noProof/>
            <w:sz w:val="22"/>
            <w:szCs w:val="22"/>
            <w:lang w:val="fr-FR" w:eastAsia="fr-FR"/>
          </w:rPr>
          <w:tab/>
        </w:r>
        <w:r w:rsidRPr="005A2AA4">
          <w:rPr>
            <w:rStyle w:val="Lienhypertexte"/>
            <w:noProof/>
          </w:rPr>
          <w:t>Description</w:t>
        </w:r>
        <w:r>
          <w:rPr>
            <w:noProof/>
            <w:webHidden/>
          </w:rPr>
          <w:tab/>
        </w:r>
        <w:r>
          <w:rPr>
            <w:noProof/>
            <w:webHidden/>
          </w:rPr>
          <w:fldChar w:fldCharType="begin"/>
        </w:r>
        <w:r>
          <w:rPr>
            <w:noProof/>
            <w:webHidden/>
          </w:rPr>
          <w:instrText xml:space="preserve"> PAGEREF _Toc322126814 \h </w:instrText>
        </w:r>
        <w:r>
          <w:rPr>
            <w:noProof/>
            <w:webHidden/>
          </w:rPr>
        </w:r>
        <w:r>
          <w:rPr>
            <w:noProof/>
            <w:webHidden/>
          </w:rPr>
          <w:fldChar w:fldCharType="separate"/>
        </w:r>
        <w:r>
          <w:rPr>
            <w:noProof/>
            <w:webHidden/>
          </w:rPr>
          <w:t>16</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5" w:history="1">
        <w:r w:rsidRPr="005A2AA4">
          <w:rPr>
            <w:rStyle w:val="Lienhypertexte"/>
            <w:noProof/>
          </w:rPr>
          <w:t>3.4.2</w:t>
        </w:r>
        <w:r>
          <w:rPr>
            <w:rFonts w:asciiTheme="minorHAnsi" w:eastAsiaTheme="minorEastAsia" w:hAnsiTheme="minorHAnsi" w:cstheme="minorBidi"/>
            <w:noProof/>
            <w:sz w:val="22"/>
            <w:szCs w:val="22"/>
            <w:lang w:val="fr-FR" w:eastAsia="fr-FR"/>
          </w:rPr>
          <w:tab/>
        </w:r>
        <w:r w:rsidRPr="005A2AA4">
          <w:rPr>
            <w:rStyle w:val="Lienhypertexte"/>
            <w:noProof/>
          </w:rPr>
          <w:t>Justification</w:t>
        </w:r>
        <w:r>
          <w:rPr>
            <w:noProof/>
            <w:webHidden/>
          </w:rPr>
          <w:tab/>
        </w:r>
        <w:r>
          <w:rPr>
            <w:noProof/>
            <w:webHidden/>
          </w:rPr>
          <w:fldChar w:fldCharType="begin"/>
        </w:r>
        <w:r>
          <w:rPr>
            <w:noProof/>
            <w:webHidden/>
          </w:rPr>
          <w:instrText xml:space="preserve"> PAGEREF _Toc322126815 \h </w:instrText>
        </w:r>
        <w:r>
          <w:rPr>
            <w:noProof/>
            <w:webHidden/>
          </w:rPr>
        </w:r>
        <w:r>
          <w:rPr>
            <w:noProof/>
            <w:webHidden/>
          </w:rPr>
          <w:fldChar w:fldCharType="separate"/>
        </w:r>
        <w:r>
          <w:rPr>
            <w:noProof/>
            <w:webHidden/>
          </w:rPr>
          <w:t>17</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6" w:history="1">
        <w:r w:rsidRPr="005A2AA4">
          <w:rPr>
            <w:rStyle w:val="Lienhypertexte"/>
            <w:noProof/>
          </w:rPr>
          <w:t>3.4.3</w:t>
        </w:r>
        <w:r>
          <w:rPr>
            <w:rFonts w:asciiTheme="minorHAnsi" w:eastAsiaTheme="minorEastAsia" w:hAnsiTheme="minorHAnsi" w:cstheme="minorBidi"/>
            <w:noProof/>
            <w:sz w:val="22"/>
            <w:szCs w:val="22"/>
            <w:lang w:val="fr-FR" w:eastAsia="fr-FR"/>
          </w:rPr>
          <w:tab/>
        </w:r>
        <w:r w:rsidRPr="005A2AA4">
          <w:rPr>
            <w:rStyle w:val="Lienhypertexte"/>
            <w:noProof/>
          </w:rPr>
          <w:t>Spectrum requirements</w:t>
        </w:r>
        <w:r>
          <w:rPr>
            <w:noProof/>
            <w:webHidden/>
          </w:rPr>
          <w:tab/>
        </w:r>
        <w:r>
          <w:rPr>
            <w:noProof/>
            <w:webHidden/>
          </w:rPr>
          <w:fldChar w:fldCharType="begin"/>
        </w:r>
        <w:r>
          <w:rPr>
            <w:noProof/>
            <w:webHidden/>
          </w:rPr>
          <w:instrText xml:space="preserve"> PAGEREF _Toc322126816 \h </w:instrText>
        </w:r>
        <w:r>
          <w:rPr>
            <w:noProof/>
            <w:webHidden/>
          </w:rPr>
        </w:r>
        <w:r>
          <w:rPr>
            <w:noProof/>
            <w:webHidden/>
          </w:rPr>
          <w:fldChar w:fldCharType="separate"/>
        </w:r>
        <w:r>
          <w:rPr>
            <w:noProof/>
            <w:webHidden/>
          </w:rPr>
          <w:t>17</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17" w:history="1">
        <w:r w:rsidRPr="005A2AA4">
          <w:rPr>
            <w:rStyle w:val="Lienhypertexte"/>
            <w:noProof/>
          </w:rPr>
          <w:t>3.5</w:t>
        </w:r>
        <w:r>
          <w:rPr>
            <w:rFonts w:asciiTheme="minorHAnsi" w:eastAsiaTheme="minorEastAsia" w:hAnsiTheme="minorHAnsi" w:cstheme="minorBidi"/>
            <w:noProof/>
            <w:sz w:val="22"/>
            <w:szCs w:val="22"/>
            <w:lang w:val="fr-FR" w:eastAsia="fr-FR"/>
          </w:rPr>
          <w:tab/>
        </w:r>
        <w:r w:rsidRPr="005A2AA4">
          <w:rPr>
            <w:rStyle w:val="Lienhypertexte"/>
            <w:noProof/>
          </w:rPr>
          <w:t>Application five: Programme Making and Special Events (PMSE)</w:t>
        </w:r>
        <w:r>
          <w:rPr>
            <w:noProof/>
            <w:webHidden/>
          </w:rPr>
          <w:tab/>
        </w:r>
        <w:r>
          <w:rPr>
            <w:noProof/>
            <w:webHidden/>
          </w:rPr>
          <w:fldChar w:fldCharType="begin"/>
        </w:r>
        <w:r>
          <w:rPr>
            <w:noProof/>
            <w:webHidden/>
          </w:rPr>
          <w:instrText xml:space="preserve"> PAGEREF _Toc322126817 \h </w:instrText>
        </w:r>
        <w:r>
          <w:rPr>
            <w:noProof/>
            <w:webHidden/>
          </w:rPr>
        </w:r>
        <w:r>
          <w:rPr>
            <w:noProof/>
            <w:webHidden/>
          </w:rPr>
          <w:fldChar w:fldCharType="separate"/>
        </w:r>
        <w:r>
          <w:rPr>
            <w:noProof/>
            <w:webHidden/>
          </w:rPr>
          <w:t>18</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18" w:history="1">
        <w:r w:rsidRPr="005A2AA4">
          <w:rPr>
            <w:rStyle w:val="Lienhypertexte"/>
            <w:noProof/>
          </w:rPr>
          <w:t>3.6</w:t>
        </w:r>
        <w:r>
          <w:rPr>
            <w:rFonts w:asciiTheme="minorHAnsi" w:eastAsiaTheme="minorEastAsia" w:hAnsiTheme="minorHAnsi" w:cstheme="minorBidi"/>
            <w:noProof/>
            <w:sz w:val="22"/>
            <w:szCs w:val="22"/>
            <w:lang w:val="fr-FR" w:eastAsia="fr-FR"/>
          </w:rPr>
          <w:tab/>
        </w:r>
        <w:r w:rsidRPr="005A2AA4">
          <w:rPr>
            <w:rStyle w:val="Lienhypertexte"/>
            <w:noProof/>
          </w:rPr>
          <w:t>Application six: Broadband PPDR for temporary and local use</w:t>
        </w:r>
        <w:r>
          <w:rPr>
            <w:noProof/>
            <w:webHidden/>
          </w:rPr>
          <w:tab/>
        </w:r>
        <w:r>
          <w:rPr>
            <w:noProof/>
            <w:webHidden/>
          </w:rPr>
          <w:fldChar w:fldCharType="begin"/>
        </w:r>
        <w:r>
          <w:rPr>
            <w:noProof/>
            <w:webHidden/>
          </w:rPr>
          <w:instrText xml:space="preserve"> PAGEREF _Toc322126818 \h </w:instrText>
        </w:r>
        <w:r>
          <w:rPr>
            <w:noProof/>
            <w:webHidden/>
          </w:rPr>
        </w:r>
        <w:r>
          <w:rPr>
            <w:noProof/>
            <w:webHidden/>
          </w:rPr>
          <w:fldChar w:fldCharType="separate"/>
        </w:r>
        <w:r>
          <w:rPr>
            <w:noProof/>
            <w:webHidden/>
          </w:rPr>
          <w:t>20</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19" w:history="1">
        <w:r w:rsidRPr="005A2AA4">
          <w:rPr>
            <w:rStyle w:val="Lienhypertexte"/>
            <w:noProof/>
          </w:rPr>
          <w:t>3.6.1</w:t>
        </w:r>
        <w:r>
          <w:rPr>
            <w:rFonts w:asciiTheme="minorHAnsi" w:eastAsiaTheme="minorEastAsia" w:hAnsiTheme="minorHAnsi" w:cstheme="minorBidi"/>
            <w:noProof/>
            <w:sz w:val="22"/>
            <w:szCs w:val="22"/>
            <w:lang w:val="fr-FR" w:eastAsia="fr-FR"/>
          </w:rPr>
          <w:tab/>
        </w:r>
        <w:r w:rsidRPr="005A2AA4">
          <w:rPr>
            <w:rStyle w:val="Lienhypertexte"/>
            <w:noProof/>
          </w:rPr>
          <w:t>Description</w:t>
        </w:r>
        <w:r>
          <w:rPr>
            <w:noProof/>
            <w:webHidden/>
          </w:rPr>
          <w:tab/>
        </w:r>
        <w:r>
          <w:rPr>
            <w:noProof/>
            <w:webHidden/>
          </w:rPr>
          <w:fldChar w:fldCharType="begin"/>
        </w:r>
        <w:r>
          <w:rPr>
            <w:noProof/>
            <w:webHidden/>
          </w:rPr>
          <w:instrText xml:space="preserve"> PAGEREF _Toc322126819 \h </w:instrText>
        </w:r>
        <w:r>
          <w:rPr>
            <w:noProof/>
            <w:webHidden/>
          </w:rPr>
        </w:r>
        <w:r>
          <w:rPr>
            <w:noProof/>
            <w:webHidden/>
          </w:rPr>
          <w:fldChar w:fldCharType="separate"/>
        </w:r>
        <w:r>
          <w:rPr>
            <w:noProof/>
            <w:webHidden/>
          </w:rPr>
          <w:t>20</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20" w:history="1">
        <w:r w:rsidRPr="005A2AA4">
          <w:rPr>
            <w:rStyle w:val="Lienhypertexte"/>
            <w:noProof/>
          </w:rPr>
          <w:t>3.6.2</w:t>
        </w:r>
        <w:r>
          <w:rPr>
            <w:rFonts w:asciiTheme="minorHAnsi" w:eastAsiaTheme="minorEastAsia" w:hAnsiTheme="minorHAnsi" w:cstheme="minorBidi"/>
            <w:noProof/>
            <w:sz w:val="22"/>
            <w:szCs w:val="22"/>
            <w:lang w:val="fr-FR" w:eastAsia="fr-FR"/>
          </w:rPr>
          <w:tab/>
        </w:r>
        <w:r w:rsidRPr="005A2AA4">
          <w:rPr>
            <w:rStyle w:val="Lienhypertexte"/>
            <w:noProof/>
          </w:rPr>
          <w:t>Justification</w:t>
        </w:r>
        <w:r>
          <w:rPr>
            <w:noProof/>
            <w:webHidden/>
          </w:rPr>
          <w:tab/>
        </w:r>
        <w:r>
          <w:rPr>
            <w:noProof/>
            <w:webHidden/>
          </w:rPr>
          <w:fldChar w:fldCharType="begin"/>
        </w:r>
        <w:r>
          <w:rPr>
            <w:noProof/>
            <w:webHidden/>
          </w:rPr>
          <w:instrText xml:space="preserve"> PAGEREF _Toc322126820 \h </w:instrText>
        </w:r>
        <w:r>
          <w:rPr>
            <w:noProof/>
            <w:webHidden/>
          </w:rPr>
        </w:r>
        <w:r>
          <w:rPr>
            <w:noProof/>
            <w:webHidden/>
          </w:rPr>
          <w:fldChar w:fldCharType="separate"/>
        </w:r>
        <w:r>
          <w:rPr>
            <w:noProof/>
            <w:webHidden/>
          </w:rPr>
          <w:t>21</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21" w:history="1">
        <w:r w:rsidRPr="005A2AA4">
          <w:rPr>
            <w:rStyle w:val="Lienhypertexte"/>
            <w:noProof/>
          </w:rPr>
          <w:t>3.6.3</w:t>
        </w:r>
        <w:r>
          <w:rPr>
            <w:rFonts w:asciiTheme="minorHAnsi" w:eastAsiaTheme="minorEastAsia" w:hAnsiTheme="minorHAnsi" w:cstheme="minorBidi"/>
            <w:noProof/>
            <w:sz w:val="22"/>
            <w:szCs w:val="22"/>
            <w:lang w:val="fr-FR" w:eastAsia="fr-FR"/>
          </w:rPr>
          <w:tab/>
        </w:r>
        <w:r w:rsidRPr="005A2AA4">
          <w:rPr>
            <w:rStyle w:val="Lienhypertexte"/>
            <w:noProof/>
          </w:rPr>
          <w:t>Spectrum requirements</w:t>
        </w:r>
        <w:r>
          <w:rPr>
            <w:noProof/>
            <w:webHidden/>
          </w:rPr>
          <w:tab/>
        </w:r>
        <w:r>
          <w:rPr>
            <w:noProof/>
            <w:webHidden/>
          </w:rPr>
          <w:fldChar w:fldCharType="begin"/>
        </w:r>
        <w:r>
          <w:rPr>
            <w:noProof/>
            <w:webHidden/>
          </w:rPr>
          <w:instrText xml:space="preserve"> PAGEREF _Toc322126821 \h </w:instrText>
        </w:r>
        <w:r>
          <w:rPr>
            <w:noProof/>
            <w:webHidden/>
          </w:rPr>
        </w:r>
        <w:r>
          <w:rPr>
            <w:noProof/>
            <w:webHidden/>
          </w:rPr>
          <w:fldChar w:fldCharType="separate"/>
        </w:r>
        <w:r>
          <w:rPr>
            <w:noProof/>
            <w:webHidden/>
          </w:rPr>
          <w:t>21</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22" w:history="1">
        <w:r w:rsidRPr="005A2AA4">
          <w:rPr>
            <w:rStyle w:val="Lienhypertexte"/>
            <w:noProof/>
          </w:rPr>
          <w:t>3.7</w:t>
        </w:r>
        <w:r>
          <w:rPr>
            <w:rFonts w:asciiTheme="minorHAnsi" w:eastAsiaTheme="minorEastAsia" w:hAnsiTheme="minorHAnsi" w:cstheme="minorBidi"/>
            <w:noProof/>
            <w:sz w:val="22"/>
            <w:szCs w:val="22"/>
            <w:lang w:val="fr-FR" w:eastAsia="fr-FR"/>
          </w:rPr>
          <w:tab/>
        </w:r>
        <w:r w:rsidRPr="005A2AA4">
          <w:rPr>
            <w:rStyle w:val="Lienhypertexte"/>
            <w:noProof/>
          </w:rPr>
          <w:t>Application seven: Broadband Direct-Air-to-Ground Communications (BDA2GC)</w:t>
        </w:r>
        <w:r>
          <w:rPr>
            <w:noProof/>
            <w:webHidden/>
          </w:rPr>
          <w:tab/>
        </w:r>
        <w:r>
          <w:rPr>
            <w:noProof/>
            <w:webHidden/>
          </w:rPr>
          <w:fldChar w:fldCharType="begin"/>
        </w:r>
        <w:r>
          <w:rPr>
            <w:noProof/>
            <w:webHidden/>
          </w:rPr>
          <w:instrText xml:space="preserve"> PAGEREF _Toc322126822 \h </w:instrText>
        </w:r>
        <w:r>
          <w:rPr>
            <w:noProof/>
            <w:webHidden/>
          </w:rPr>
        </w:r>
        <w:r>
          <w:rPr>
            <w:noProof/>
            <w:webHidden/>
          </w:rPr>
          <w:fldChar w:fldCharType="separate"/>
        </w:r>
        <w:r>
          <w:rPr>
            <w:noProof/>
            <w:webHidden/>
          </w:rPr>
          <w:t>21</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23" w:history="1">
        <w:r w:rsidRPr="005A2AA4">
          <w:rPr>
            <w:rStyle w:val="Lienhypertexte"/>
            <w:noProof/>
          </w:rPr>
          <w:t>3.7.1</w:t>
        </w:r>
        <w:r>
          <w:rPr>
            <w:rFonts w:asciiTheme="minorHAnsi" w:eastAsiaTheme="minorEastAsia" w:hAnsiTheme="minorHAnsi" w:cstheme="minorBidi"/>
            <w:noProof/>
            <w:sz w:val="22"/>
            <w:szCs w:val="22"/>
            <w:lang w:val="fr-FR" w:eastAsia="fr-FR"/>
          </w:rPr>
          <w:tab/>
        </w:r>
        <w:r w:rsidRPr="005A2AA4">
          <w:rPr>
            <w:rStyle w:val="Lienhypertexte"/>
            <w:noProof/>
          </w:rPr>
          <w:t>Description</w:t>
        </w:r>
        <w:r>
          <w:rPr>
            <w:noProof/>
            <w:webHidden/>
          </w:rPr>
          <w:tab/>
        </w:r>
        <w:r>
          <w:rPr>
            <w:noProof/>
            <w:webHidden/>
          </w:rPr>
          <w:fldChar w:fldCharType="begin"/>
        </w:r>
        <w:r>
          <w:rPr>
            <w:noProof/>
            <w:webHidden/>
          </w:rPr>
          <w:instrText xml:space="preserve"> PAGEREF _Toc322126823 \h </w:instrText>
        </w:r>
        <w:r>
          <w:rPr>
            <w:noProof/>
            <w:webHidden/>
          </w:rPr>
        </w:r>
        <w:r>
          <w:rPr>
            <w:noProof/>
            <w:webHidden/>
          </w:rPr>
          <w:fldChar w:fldCharType="separate"/>
        </w:r>
        <w:r>
          <w:rPr>
            <w:noProof/>
            <w:webHidden/>
          </w:rPr>
          <w:t>21</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24" w:history="1">
        <w:r w:rsidRPr="005A2AA4">
          <w:rPr>
            <w:rStyle w:val="Lienhypertexte"/>
            <w:noProof/>
          </w:rPr>
          <w:t>3.7.2</w:t>
        </w:r>
        <w:r>
          <w:rPr>
            <w:rFonts w:asciiTheme="minorHAnsi" w:eastAsiaTheme="minorEastAsia" w:hAnsiTheme="minorHAnsi" w:cstheme="minorBidi"/>
            <w:noProof/>
            <w:sz w:val="22"/>
            <w:szCs w:val="22"/>
            <w:lang w:val="fr-FR" w:eastAsia="fr-FR"/>
          </w:rPr>
          <w:tab/>
        </w:r>
        <w:r w:rsidRPr="005A2AA4">
          <w:rPr>
            <w:rStyle w:val="Lienhypertexte"/>
            <w:noProof/>
          </w:rPr>
          <w:t>Justification</w:t>
        </w:r>
        <w:r>
          <w:rPr>
            <w:noProof/>
            <w:webHidden/>
          </w:rPr>
          <w:tab/>
        </w:r>
        <w:r>
          <w:rPr>
            <w:noProof/>
            <w:webHidden/>
          </w:rPr>
          <w:fldChar w:fldCharType="begin"/>
        </w:r>
        <w:r>
          <w:rPr>
            <w:noProof/>
            <w:webHidden/>
          </w:rPr>
          <w:instrText xml:space="preserve"> PAGEREF _Toc322126824 \h </w:instrText>
        </w:r>
        <w:r>
          <w:rPr>
            <w:noProof/>
            <w:webHidden/>
          </w:rPr>
        </w:r>
        <w:r>
          <w:rPr>
            <w:noProof/>
            <w:webHidden/>
          </w:rPr>
          <w:fldChar w:fldCharType="separate"/>
        </w:r>
        <w:r>
          <w:rPr>
            <w:noProof/>
            <w:webHidden/>
          </w:rPr>
          <w:t>22</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25" w:history="1">
        <w:r w:rsidRPr="005A2AA4">
          <w:rPr>
            <w:rStyle w:val="Lienhypertexte"/>
            <w:noProof/>
          </w:rPr>
          <w:t>3.7.3</w:t>
        </w:r>
        <w:r>
          <w:rPr>
            <w:rFonts w:asciiTheme="minorHAnsi" w:eastAsiaTheme="minorEastAsia" w:hAnsiTheme="minorHAnsi" w:cstheme="minorBidi"/>
            <w:noProof/>
            <w:sz w:val="22"/>
            <w:szCs w:val="22"/>
            <w:lang w:val="fr-FR" w:eastAsia="fr-FR"/>
          </w:rPr>
          <w:tab/>
        </w:r>
        <w:r w:rsidRPr="005A2AA4">
          <w:rPr>
            <w:rStyle w:val="Lienhypertexte"/>
            <w:noProof/>
          </w:rPr>
          <w:t>Spectrum requirements</w:t>
        </w:r>
        <w:r>
          <w:rPr>
            <w:noProof/>
            <w:webHidden/>
          </w:rPr>
          <w:tab/>
        </w:r>
        <w:r>
          <w:rPr>
            <w:noProof/>
            <w:webHidden/>
          </w:rPr>
          <w:fldChar w:fldCharType="begin"/>
        </w:r>
        <w:r>
          <w:rPr>
            <w:noProof/>
            <w:webHidden/>
          </w:rPr>
          <w:instrText xml:space="preserve"> PAGEREF _Toc322126825 \h </w:instrText>
        </w:r>
        <w:r>
          <w:rPr>
            <w:noProof/>
            <w:webHidden/>
          </w:rPr>
        </w:r>
        <w:r>
          <w:rPr>
            <w:noProof/>
            <w:webHidden/>
          </w:rPr>
          <w:fldChar w:fldCharType="separate"/>
        </w:r>
        <w:r>
          <w:rPr>
            <w:noProof/>
            <w:webHidden/>
          </w:rPr>
          <w:t>23</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26" w:history="1">
        <w:r w:rsidRPr="005A2AA4">
          <w:rPr>
            <w:rStyle w:val="Lienhypertexte"/>
            <w:noProof/>
          </w:rPr>
          <w:t>4</w:t>
        </w:r>
        <w:r>
          <w:rPr>
            <w:rFonts w:asciiTheme="minorHAnsi" w:eastAsiaTheme="minorEastAsia" w:hAnsiTheme="minorHAnsi" w:cstheme="minorBidi"/>
            <w:b w:val="0"/>
            <w:caps w:val="0"/>
            <w:noProof/>
            <w:sz w:val="22"/>
            <w:szCs w:val="22"/>
            <w:lang w:val="fr-FR" w:eastAsia="fr-FR"/>
          </w:rPr>
          <w:tab/>
        </w:r>
        <w:r w:rsidRPr="005A2AA4">
          <w:rPr>
            <w:rStyle w:val="Lienhypertexte"/>
            <w:noProof/>
          </w:rPr>
          <w:t>Criteria</w:t>
        </w:r>
        <w:r>
          <w:rPr>
            <w:noProof/>
            <w:webHidden/>
          </w:rPr>
          <w:tab/>
        </w:r>
        <w:r>
          <w:rPr>
            <w:noProof/>
            <w:webHidden/>
          </w:rPr>
          <w:fldChar w:fldCharType="begin"/>
        </w:r>
        <w:r>
          <w:rPr>
            <w:noProof/>
            <w:webHidden/>
          </w:rPr>
          <w:instrText xml:space="preserve"> PAGEREF _Toc322126826 \h </w:instrText>
        </w:r>
        <w:r>
          <w:rPr>
            <w:noProof/>
            <w:webHidden/>
          </w:rPr>
        </w:r>
        <w:r>
          <w:rPr>
            <w:noProof/>
            <w:webHidden/>
          </w:rPr>
          <w:fldChar w:fldCharType="separate"/>
        </w:r>
        <w:r>
          <w:rPr>
            <w:noProof/>
            <w:webHidden/>
          </w:rPr>
          <w:t>24</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27" w:history="1">
        <w:r w:rsidRPr="005A2AA4">
          <w:rPr>
            <w:rStyle w:val="Lienhypertexte"/>
            <w:noProof/>
          </w:rPr>
          <w:t>5</w:t>
        </w:r>
        <w:r>
          <w:rPr>
            <w:rFonts w:asciiTheme="minorHAnsi" w:eastAsiaTheme="minorEastAsia" w:hAnsiTheme="minorHAnsi" w:cstheme="minorBidi"/>
            <w:b w:val="0"/>
            <w:caps w:val="0"/>
            <w:noProof/>
            <w:sz w:val="22"/>
            <w:szCs w:val="22"/>
            <w:lang w:val="fr-FR" w:eastAsia="fr-FR"/>
          </w:rPr>
          <w:tab/>
        </w:r>
        <w:r w:rsidRPr="005A2AA4">
          <w:rPr>
            <w:rStyle w:val="Lienhypertexte"/>
            <w:noProof/>
          </w:rPr>
          <w:t>Regulatory options</w:t>
        </w:r>
        <w:r>
          <w:rPr>
            <w:noProof/>
            <w:webHidden/>
          </w:rPr>
          <w:tab/>
        </w:r>
        <w:r>
          <w:rPr>
            <w:noProof/>
            <w:webHidden/>
          </w:rPr>
          <w:fldChar w:fldCharType="begin"/>
        </w:r>
        <w:r>
          <w:rPr>
            <w:noProof/>
            <w:webHidden/>
          </w:rPr>
          <w:instrText xml:space="preserve"> PAGEREF _Toc322126827 \h </w:instrText>
        </w:r>
        <w:r>
          <w:rPr>
            <w:noProof/>
            <w:webHidden/>
          </w:rPr>
        </w:r>
        <w:r>
          <w:rPr>
            <w:noProof/>
            <w:webHidden/>
          </w:rPr>
          <w:fldChar w:fldCharType="separate"/>
        </w:r>
        <w:r>
          <w:rPr>
            <w:noProof/>
            <w:webHidden/>
          </w:rPr>
          <w:t>25</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28" w:history="1">
        <w:r w:rsidRPr="005A2AA4">
          <w:rPr>
            <w:rStyle w:val="Lienhypertexte"/>
            <w:noProof/>
          </w:rPr>
          <w:t>5.1</w:t>
        </w:r>
        <w:r>
          <w:rPr>
            <w:rFonts w:asciiTheme="minorHAnsi" w:eastAsiaTheme="minorEastAsia" w:hAnsiTheme="minorHAnsi" w:cstheme="minorBidi"/>
            <w:noProof/>
            <w:sz w:val="22"/>
            <w:szCs w:val="22"/>
            <w:lang w:val="fr-FR" w:eastAsia="fr-FR"/>
          </w:rPr>
          <w:tab/>
        </w:r>
        <w:r w:rsidRPr="005A2AA4">
          <w:rPr>
            <w:rStyle w:val="Lienhypertexte"/>
            <w:noProof/>
          </w:rPr>
          <w:t>Least Restrictive Technical Conditions</w:t>
        </w:r>
        <w:r>
          <w:rPr>
            <w:noProof/>
            <w:webHidden/>
          </w:rPr>
          <w:tab/>
        </w:r>
        <w:r>
          <w:rPr>
            <w:noProof/>
            <w:webHidden/>
          </w:rPr>
          <w:fldChar w:fldCharType="begin"/>
        </w:r>
        <w:r>
          <w:rPr>
            <w:noProof/>
            <w:webHidden/>
          </w:rPr>
          <w:instrText xml:space="preserve"> PAGEREF _Toc322126828 \h </w:instrText>
        </w:r>
        <w:r>
          <w:rPr>
            <w:noProof/>
            <w:webHidden/>
          </w:rPr>
        </w:r>
        <w:r>
          <w:rPr>
            <w:noProof/>
            <w:webHidden/>
          </w:rPr>
          <w:fldChar w:fldCharType="separate"/>
        </w:r>
        <w:r>
          <w:rPr>
            <w:noProof/>
            <w:webHidden/>
          </w:rPr>
          <w:t>25</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29" w:history="1">
        <w:r w:rsidRPr="005A2AA4">
          <w:rPr>
            <w:rStyle w:val="Lienhypertexte"/>
            <w:noProof/>
          </w:rPr>
          <w:t>5.1.1</w:t>
        </w:r>
        <w:r>
          <w:rPr>
            <w:rFonts w:asciiTheme="minorHAnsi" w:eastAsiaTheme="minorEastAsia" w:hAnsiTheme="minorHAnsi" w:cstheme="minorBidi"/>
            <w:noProof/>
            <w:sz w:val="22"/>
            <w:szCs w:val="22"/>
            <w:lang w:val="fr-FR" w:eastAsia="fr-FR"/>
          </w:rPr>
          <w:tab/>
        </w:r>
        <w:r w:rsidRPr="005A2AA4">
          <w:rPr>
            <w:rStyle w:val="Lienhypertexte"/>
            <w:noProof/>
          </w:rPr>
          <w:t>ECC experience with LRTCs</w:t>
        </w:r>
        <w:r>
          <w:rPr>
            <w:noProof/>
            <w:webHidden/>
          </w:rPr>
          <w:tab/>
        </w:r>
        <w:r>
          <w:rPr>
            <w:noProof/>
            <w:webHidden/>
          </w:rPr>
          <w:fldChar w:fldCharType="begin"/>
        </w:r>
        <w:r>
          <w:rPr>
            <w:noProof/>
            <w:webHidden/>
          </w:rPr>
          <w:instrText xml:space="preserve"> PAGEREF _Toc322126829 \h </w:instrText>
        </w:r>
        <w:r>
          <w:rPr>
            <w:noProof/>
            <w:webHidden/>
          </w:rPr>
        </w:r>
        <w:r>
          <w:rPr>
            <w:noProof/>
            <w:webHidden/>
          </w:rPr>
          <w:fldChar w:fldCharType="separate"/>
        </w:r>
        <w:r>
          <w:rPr>
            <w:noProof/>
            <w:webHidden/>
          </w:rPr>
          <w:t>25</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30" w:history="1">
        <w:r w:rsidRPr="005A2AA4">
          <w:rPr>
            <w:rStyle w:val="Lienhypertexte"/>
            <w:noProof/>
          </w:rPr>
          <w:t>5.1.2</w:t>
        </w:r>
        <w:r>
          <w:rPr>
            <w:rFonts w:asciiTheme="minorHAnsi" w:eastAsiaTheme="minorEastAsia" w:hAnsiTheme="minorHAnsi" w:cstheme="minorBidi"/>
            <w:noProof/>
            <w:sz w:val="22"/>
            <w:szCs w:val="22"/>
            <w:lang w:val="fr-FR" w:eastAsia="fr-FR"/>
          </w:rPr>
          <w:tab/>
        </w:r>
        <w:r w:rsidRPr="005A2AA4">
          <w:rPr>
            <w:rStyle w:val="Lienhypertexte"/>
            <w:noProof/>
          </w:rPr>
          <w:t>Possible sets of LRTC to be developed</w:t>
        </w:r>
        <w:r>
          <w:rPr>
            <w:noProof/>
            <w:webHidden/>
          </w:rPr>
          <w:tab/>
        </w:r>
        <w:r>
          <w:rPr>
            <w:noProof/>
            <w:webHidden/>
          </w:rPr>
          <w:fldChar w:fldCharType="begin"/>
        </w:r>
        <w:r>
          <w:rPr>
            <w:noProof/>
            <w:webHidden/>
          </w:rPr>
          <w:instrText xml:space="preserve"> PAGEREF _Toc322126830 \h </w:instrText>
        </w:r>
        <w:r>
          <w:rPr>
            <w:noProof/>
            <w:webHidden/>
          </w:rPr>
        </w:r>
        <w:r>
          <w:rPr>
            <w:noProof/>
            <w:webHidden/>
          </w:rPr>
          <w:fldChar w:fldCharType="separate"/>
        </w:r>
        <w:r>
          <w:rPr>
            <w:noProof/>
            <w:webHidden/>
          </w:rPr>
          <w:t>26</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31" w:history="1">
        <w:r w:rsidRPr="005A2AA4">
          <w:rPr>
            <w:rStyle w:val="Lienhypertexte"/>
            <w:noProof/>
          </w:rPr>
          <w:t>5.1.2.1</w:t>
        </w:r>
        <w:r>
          <w:rPr>
            <w:rFonts w:asciiTheme="minorHAnsi" w:eastAsiaTheme="minorEastAsia" w:hAnsiTheme="minorHAnsi" w:cstheme="minorBidi"/>
            <w:i w:val="0"/>
            <w:noProof/>
            <w:sz w:val="22"/>
            <w:szCs w:val="22"/>
            <w:lang w:val="fr-FR" w:eastAsia="fr-FR"/>
          </w:rPr>
          <w:tab/>
        </w:r>
        <w:r w:rsidRPr="005A2AA4">
          <w:rPr>
            <w:rStyle w:val="Lienhypertexte"/>
            <w:noProof/>
          </w:rPr>
          <w:t>Terrestrial Systems</w:t>
        </w:r>
        <w:r>
          <w:rPr>
            <w:noProof/>
            <w:webHidden/>
          </w:rPr>
          <w:tab/>
        </w:r>
        <w:r>
          <w:rPr>
            <w:noProof/>
            <w:webHidden/>
          </w:rPr>
          <w:fldChar w:fldCharType="begin"/>
        </w:r>
        <w:r>
          <w:rPr>
            <w:noProof/>
            <w:webHidden/>
          </w:rPr>
          <w:instrText xml:space="preserve"> PAGEREF _Toc322126831 \h </w:instrText>
        </w:r>
        <w:r>
          <w:rPr>
            <w:noProof/>
            <w:webHidden/>
          </w:rPr>
        </w:r>
        <w:r>
          <w:rPr>
            <w:noProof/>
            <w:webHidden/>
          </w:rPr>
          <w:fldChar w:fldCharType="separate"/>
        </w:r>
        <w:r>
          <w:rPr>
            <w:noProof/>
            <w:webHidden/>
          </w:rPr>
          <w:t>26</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32" w:history="1">
        <w:r w:rsidRPr="005A2AA4">
          <w:rPr>
            <w:rStyle w:val="Lienhypertexte"/>
            <w:noProof/>
          </w:rPr>
          <w:t>5.1.2.2</w:t>
        </w:r>
        <w:r>
          <w:rPr>
            <w:rFonts w:asciiTheme="minorHAnsi" w:eastAsiaTheme="minorEastAsia" w:hAnsiTheme="minorHAnsi" w:cstheme="minorBidi"/>
            <w:i w:val="0"/>
            <w:noProof/>
            <w:sz w:val="22"/>
            <w:szCs w:val="22"/>
            <w:lang w:val="fr-FR" w:eastAsia="fr-FR"/>
          </w:rPr>
          <w:tab/>
        </w:r>
        <w:r w:rsidRPr="005A2AA4">
          <w:rPr>
            <w:rStyle w:val="Lienhypertexte"/>
            <w:noProof/>
          </w:rPr>
          <w:t>Satellite Digital Audio Broadcasting – (including terrestrial component)</w:t>
        </w:r>
        <w:r>
          <w:rPr>
            <w:noProof/>
            <w:webHidden/>
          </w:rPr>
          <w:tab/>
        </w:r>
        <w:r>
          <w:rPr>
            <w:noProof/>
            <w:webHidden/>
          </w:rPr>
          <w:fldChar w:fldCharType="begin"/>
        </w:r>
        <w:r>
          <w:rPr>
            <w:noProof/>
            <w:webHidden/>
          </w:rPr>
          <w:instrText xml:space="preserve"> PAGEREF _Toc322126832 \h </w:instrText>
        </w:r>
        <w:r>
          <w:rPr>
            <w:noProof/>
            <w:webHidden/>
          </w:rPr>
        </w:r>
        <w:r>
          <w:rPr>
            <w:noProof/>
            <w:webHidden/>
          </w:rPr>
          <w:fldChar w:fldCharType="separate"/>
        </w:r>
        <w:r>
          <w:rPr>
            <w:noProof/>
            <w:webHidden/>
          </w:rPr>
          <w:t>27</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33" w:history="1">
        <w:r w:rsidRPr="005A2AA4">
          <w:rPr>
            <w:rStyle w:val="Lienhypertexte"/>
            <w:noProof/>
          </w:rPr>
          <w:t>5.1.2.3</w:t>
        </w:r>
        <w:r>
          <w:rPr>
            <w:rFonts w:asciiTheme="minorHAnsi" w:eastAsiaTheme="minorEastAsia" w:hAnsiTheme="minorHAnsi" w:cstheme="minorBidi"/>
            <w:i w:val="0"/>
            <w:noProof/>
            <w:sz w:val="22"/>
            <w:szCs w:val="22"/>
            <w:lang w:val="fr-FR" w:eastAsia="fr-FR"/>
          </w:rPr>
          <w:tab/>
        </w:r>
        <w:r w:rsidRPr="005A2AA4">
          <w:rPr>
            <w:rStyle w:val="Lienhypertexte"/>
            <w:noProof/>
          </w:rPr>
          <w:t>BDA2GC</w:t>
        </w:r>
        <w:r>
          <w:rPr>
            <w:noProof/>
            <w:webHidden/>
          </w:rPr>
          <w:tab/>
        </w:r>
        <w:r>
          <w:rPr>
            <w:noProof/>
            <w:webHidden/>
          </w:rPr>
          <w:fldChar w:fldCharType="begin"/>
        </w:r>
        <w:r>
          <w:rPr>
            <w:noProof/>
            <w:webHidden/>
          </w:rPr>
          <w:instrText xml:space="preserve"> PAGEREF _Toc322126833 \h </w:instrText>
        </w:r>
        <w:r>
          <w:rPr>
            <w:noProof/>
            <w:webHidden/>
          </w:rPr>
        </w:r>
        <w:r>
          <w:rPr>
            <w:noProof/>
            <w:webHidden/>
          </w:rPr>
          <w:fldChar w:fldCharType="separate"/>
        </w:r>
        <w:r>
          <w:rPr>
            <w:noProof/>
            <w:webHidden/>
          </w:rPr>
          <w:t>28</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34" w:history="1">
        <w:r w:rsidRPr="005A2AA4">
          <w:rPr>
            <w:rStyle w:val="Lienhypertexte"/>
            <w:noProof/>
          </w:rPr>
          <w:t>5.1.3</w:t>
        </w:r>
        <w:r>
          <w:rPr>
            <w:rFonts w:asciiTheme="minorHAnsi" w:eastAsiaTheme="minorEastAsia" w:hAnsiTheme="minorHAnsi" w:cstheme="minorBidi"/>
            <w:noProof/>
            <w:sz w:val="22"/>
            <w:szCs w:val="22"/>
            <w:lang w:val="fr-FR" w:eastAsia="fr-FR"/>
          </w:rPr>
          <w:tab/>
        </w:r>
        <w:r w:rsidRPr="005A2AA4">
          <w:rPr>
            <w:rStyle w:val="Lienhypertexte"/>
            <w:noProof/>
          </w:rPr>
          <w:t>Reference systems</w:t>
        </w:r>
        <w:r>
          <w:rPr>
            <w:noProof/>
            <w:webHidden/>
          </w:rPr>
          <w:tab/>
        </w:r>
        <w:r>
          <w:rPr>
            <w:noProof/>
            <w:webHidden/>
          </w:rPr>
          <w:fldChar w:fldCharType="begin"/>
        </w:r>
        <w:r>
          <w:rPr>
            <w:noProof/>
            <w:webHidden/>
          </w:rPr>
          <w:instrText xml:space="preserve"> PAGEREF _Toc322126834 \h </w:instrText>
        </w:r>
        <w:r>
          <w:rPr>
            <w:noProof/>
            <w:webHidden/>
          </w:rPr>
        </w:r>
        <w:r>
          <w:rPr>
            <w:noProof/>
            <w:webHidden/>
          </w:rPr>
          <w:fldChar w:fldCharType="separate"/>
        </w:r>
        <w:r>
          <w:rPr>
            <w:noProof/>
            <w:webHidden/>
          </w:rPr>
          <w:t>29</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35" w:history="1">
        <w:r w:rsidRPr="005A2AA4">
          <w:rPr>
            <w:rStyle w:val="Lienhypertexte"/>
            <w:noProof/>
          </w:rPr>
          <w:t>5.1.4</w:t>
        </w:r>
        <w:r>
          <w:rPr>
            <w:rFonts w:asciiTheme="minorHAnsi" w:eastAsiaTheme="minorEastAsia" w:hAnsiTheme="minorHAnsi" w:cstheme="minorBidi"/>
            <w:noProof/>
            <w:sz w:val="22"/>
            <w:szCs w:val="22"/>
            <w:lang w:val="fr-FR" w:eastAsia="fr-FR"/>
          </w:rPr>
          <w:tab/>
        </w:r>
        <w:r w:rsidRPr="005A2AA4">
          <w:rPr>
            <w:rStyle w:val="Lienhypertexte"/>
            <w:noProof/>
          </w:rPr>
          <w:t>Initial Considerations on LRTC for Terrestrial system</w:t>
        </w:r>
        <w:r>
          <w:rPr>
            <w:noProof/>
            <w:webHidden/>
          </w:rPr>
          <w:tab/>
        </w:r>
        <w:r>
          <w:rPr>
            <w:noProof/>
            <w:webHidden/>
          </w:rPr>
          <w:fldChar w:fldCharType="begin"/>
        </w:r>
        <w:r>
          <w:rPr>
            <w:noProof/>
            <w:webHidden/>
          </w:rPr>
          <w:instrText xml:space="preserve"> PAGEREF _Toc322126835 \h </w:instrText>
        </w:r>
        <w:r>
          <w:rPr>
            <w:noProof/>
            <w:webHidden/>
          </w:rPr>
        </w:r>
        <w:r>
          <w:rPr>
            <w:noProof/>
            <w:webHidden/>
          </w:rPr>
          <w:fldChar w:fldCharType="separate"/>
        </w:r>
        <w:r>
          <w:rPr>
            <w:noProof/>
            <w:webHidden/>
          </w:rPr>
          <w:t>29</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36" w:history="1">
        <w:r w:rsidRPr="005A2AA4">
          <w:rPr>
            <w:rStyle w:val="Lienhypertexte"/>
            <w:noProof/>
          </w:rPr>
          <w:t>5.1.4.1</w:t>
        </w:r>
        <w:r>
          <w:rPr>
            <w:rFonts w:asciiTheme="minorHAnsi" w:eastAsiaTheme="minorEastAsia" w:hAnsiTheme="minorHAnsi" w:cstheme="minorBidi"/>
            <w:i w:val="0"/>
            <w:noProof/>
            <w:sz w:val="22"/>
            <w:szCs w:val="22"/>
            <w:lang w:val="fr-FR" w:eastAsia="fr-FR"/>
          </w:rPr>
          <w:tab/>
        </w:r>
        <w:r w:rsidRPr="005A2AA4">
          <w:rPr>
            <w:rStyle w:val="Lienhypertexte"/>
            <w:noProof/>
          </w:rPr>
          <w:t>Possible Band plan(s)</w:t>
        </w:r>
        <w:r>
          <w:rPr>
            <w:noProof/>
            <w:webHidden/>
          </w:rPr>
          <w:tab/>
        </w:r>
        <w:r>
          <w:rPr>
            <w:noProof/>
            <w:webHidden/>
          </w:rPr>
          <w:fldChar w:fldCharType="begin"/>
        </w:r>
        <w:r>
          <w:rPr>
            <w:noProof/>
            <w:webHidden/>
          </w:rPr>
          <w:instrText xml:space="preserve"> PAGEREF _Toc322126836 \h </w:instrText>
        </w:r>
        <w:r>
          <w:rPr>
            <w:noProof/>
            <w:webHidden/>
          </w:rPr>
        </w:r>
        <w:r>
          <w:rPr>
            <w:noProof/>
            <w:webHidden/>
          </w:rPr>
          <w:fldChar w:fldCharType="separate"/>
        </w:r>
        <w:r>
          <w:rPr>
            <w:noProof/>
            <w:webHidden/>
          </w:rPr>
          <w:t>29</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37" w:history="1">
        <w:r w:rsidRPr="005A2AA4">
          <w:rPr>
            <w:rStyle w:val="Lienhypertexte"/>
            <w:noProof/>
          </w:rPr>
          <w:t>5.1.4.2</w:t>
        </w:r>
        <w:r>
          <w:rPr>
            <w:rFonts w:asciiTheme="minorHAnsi" w:eastAsiaTheme="minorEastAsia" w:hAnsiTheme="minorHAnsi" w:cstheme="minorBidi"/>
            <w:i w:val="0"/>
            <w:noProof/>
            <w:sz w:val="22"/>
            <w:szCs w:val="22"/>
            <w:lang w:val="fr-FR" w:eastAsia="fr-FR"/>
          </w:rPr>
          <w:tab/>
        </w:r>
        <w:r w:rsidRPr="005A2AA4">
          <w:rPr>
            <w:rStyle w:val="Lienhypertexte"/>
            <w:noProof/>
          </w:rPr>
          <w:t>Generic BEM</w:t>
        </w:r>
        <w:r>
          <w:rPr>
            <w:noProof/>
            <w:webHidden/>
          </w:rPr>
          <w:tab/>
        </w:r>
        <w:r>
          <w:rPr>
            <w:noProof/>
            <w:webHidden/>
          </w:rPr>
          <w:fldChar w:fldCharType="begin"/>
        </w:r>
        <w:r>
          <w:rPr>
            <w:noProof/>
            <w:webHidden/>
          </w:rPr>
          <w:instrText xml:space="preserve"> PAGEREF _Toc322126837 \h </w:instrText>
        </w:r>
        <w:r>
          <w:rPr>
            <w:noProof/>
            <w:webHidden/>
          </w:rPr>
        </w:r>
        <w:r>
          <w:rPr>
            <w:noProof/>
            <w:webHidden/>
          </w:rPr>
          <w:fldChar w:fldCharType="separate"/>
        </w:r>
        <w:r>
          <w:rPr>
            <w:noProof/>
            <w:webHidden/>
          </w:rPr>
          <w:t>30</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38" w:history="1">
        <w:r w:rsidRPr="005A2AA4">
          <w:rPr>
            <w:rStyle w:val="Lienhypertexte"/>
            <w:noProof/>
          </w:rPr>
          <w:t>5.1.4.3</w:t>
        </w:r>
        <w:r>
          <w:rPr>
            <w:rFonts w:asciiTheme="minorHAnsi" w:eastAsiaTheme="minorEastAsia" w:hAnsiTheme="minorHAnsi" w:cstheme="minorBidi"/>
            <w:i w:val="0"/>
            <w:noProof/>
            <w:sz w:val="22"/>
            <w:szCs w:val="22"/>
            <w:lang w:val="fr-FR" w:eastAsia="fr-FR"/>
          </w:rPr>
          <w:tab/>
        </w:r>
        <w:r w:rsidRPr="005A2AA4">
          <w:rPr>
            <w:rStyle w:val="Lienhypertexte"/>
            <w:noProof/>
          </w:rPr>
          <w:t>Restricted BEM</w:t>
        </w:r>
        <w:r>
          <w:rPr>
            <w:noProof/>
            <w:webHidden/>
          </w:rPr>
          <w:tab/>
        </w:r>
        <w:r>
          <w:rPr>
            <w:noProof/>
            <w:webHidden/>
          </w:rPr>
          <w:fldChar w:fldCharType="begin"/>
        </w:r>
        <w:r>
          <w:rPr>
            <w:noProof/>
            <w:webHidden/>
          </w:rPr>
          <w:instrText xml:space="preserve"> PAGEREF _Toc322126838 \h </w:instrText>
        </w:r>
        <w:r>
          <w:rPr>
            <w:noProof/>
            <w:webHidden/>
          </w:rPr>
        </w:r>
        <w:r>
          <w:rPr>
            <w:noProof/>
            <w:webHidden/>
          </w:rPr>
          <w:fldChar w:fldCharType="separate"/>
        </w:r>
        <w:r>
          <w:rPr>
            <w:noProof/>
            <w:webHidden/>
          </w:rPr>
          <w:t>30</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39" w:history="1">
        <w:r w:rsidRPr="005A2AA4">
          <w:rPr>
            <w:rStyle w:val="Lienhypertexte"/>
            <w:noProof/>
          </w:rPr>
          <w:t>5.2</w:t>
        </w:r>
        <w:r>
          <w:rPr>
            <w:rFonts w:asciiTheme="minorHAnsi" w:eastAsiaTheme="minorEastAsia" w:hAnsiTheme="minorHAnsi" w:cstheme="minorBidi"/>
            <w:noProof/>
            <w:sz w:val="22"/>
            <w:szCs w:val="22"/>
            <w:lang w:val="fr-FR" w:eastAsia="fr-FR"/>
          </w:rPr>
          <w:tab/>
        </w:r>
        <w:r w:rsidRPr="005A2AA4">
          <w:rPr>
            <w:rStyle w:val="Lienhypertexte"/>
            <w:noProof/>
          </w:rPr>
          <w:t>Pan-european vs National coverage</w:t>
        </w:r>
        <w:r>
          <w:rPr>
            <w:noProof/>
            <w:webHidden/>
          </w:rPr>
          <w:tab/>
        </w:r>
        <w:r>
          <w:rPr>
            <w:noProof/>
            <w:webHidden/>
          </w:rPr>
          <w:fldChar w:fldCharType="begin"/>
        </w:r>
        <w:r>
          <w:rPr>
            <w:noProof/>
            <w:webHidden/>
          </w:rPr>
          <w:instrText xml:space="preserve"> PAGEREF _Toc322126839 \h </w:instrText>
        </w:r>
        <w:r>
          <w:rPr>
            <w:noProof/>
            <w:webHidden/>
          </w:rPr>
        </w:r>
        <w:r>
          <w:rPr>
            <w:noProof/>
            <w:webHidden/>
          </w:rPr>
          <w:fldChar w:fldCharType="separate"/>
        </w:r>
        <w:r>
          <w:rPr>
            <w:noProof/>
            <w:webHidden/>
          </w:rPr>
          <w:t>31</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40" w:history="1">
        <w:r w:rsidRPr="005A2AA4">
          <w:rPr>
            <w:rStyle w:val="Lienhypertexte"/>
            <w:noProof/>
          </w:rPr>
          <w:t>5.2.1</w:t>
        </w:r>
        <w:r>
          <w:rPr>
            <w:rFonts w:asciiTheme="minorHAnsi" w:eastAsiaTheme="minorEastAsia" w:hAnsiTheme="minorHAnsi" w:cstheme="minorBidi"/>
            <w:noProof/>
            <w:sz w:val="22"/>
            <w:szCs w:val="22"/>
            <w:lang w:val="fr-FR" w:eastAsia="fr-FR"/>
          </w:rPr>
          <w:tab/>
        </w:r>
        <w:r w:rsidRPr="005A2AA4">
          <w:rPr>
            <w:rStyle w:val="Lienhypertexte"/>
            <w:noProof/>
          </w:rPr>
          <w:t>Applications requiring the harmonisation and identification of spectrum for CEPT-wide use/coverage</w:t>
        </w:r>
        <w:r>
          <w:rPr>
            <w:noProof/>
            <w:webHidden/>
          </w:rPr>
          <w:tab/>
        </w:r>
        <w:r>
          <w:rPr>
            <w:noProof/>
            <w:webHidden/>
          </w:rPr>
          <w:fldChar w:fldCharType="begin"/>
        </w:r>
        <w:r>
          <w:rPr>
            <w:noProof/>
            <w:webHidden/>
          </w:rPr>
          <w:instrText xml:space="preserve"> PAGEREF _Toc322126840 \h </w:instrText>
        </w:r>
        <w:r>
          <w:rPr>
            <w:noProof/>
            <w:webHidden/>
          </w:rPr>
        </w:r>
        <w:r>
          <w:rPr>
            <w:noProof/>
            <w:webHidden/>
          </w:rPr>
          <w:fldChar w:fldCharType="separate"/>
        </w:r>
        <w:r>
          <w:rPr>
            <w:noProof/>
            <w:webHidden/>
          </w:rPr>
          <w:t>31</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41" w:history="1">
        <w:r w:rsidRPr="005A2AA4">
          <w:rPr>
            <w:rStyle w:val="Lienhypertexte"/>
            <w:noProof/>
          </w:rPr>
          <w:t>5.2.1.1</w:t>
        </w:r>
        <w:r>
          <w:rPr>
            <w:rFonts w:asciiTheme="minorHAnsi" w:eastAsiaTheme="minorEastAsia" w:hAnsiTheme="minorHAnsi" w:cstheme="minorBidi"/>
            <w:i w:val="0"/>
            <w:noProof/>
            <w:sz w:val="22"/>
            <w:szCs w:val="22"/>
            <w:lang w:val="fr-FR" w:eastAsia="fr-FR"/>
          </w:rPr>
          <w:tab/>
        </w:r>
        <w:r w:rsidRPr="005A2AA4">
          <w:rPr>
            <w:rStyle w:val="Lienhypertexte"/>
            <w:noProof/>
          </w:rPr>
          <w:t>Satellite Digital Audio Broadcasting– (including terrestrial component)</w:t>
        </w:r>
        <w:r>
          <w:rPr>
            <w:noProof/>
            <w:webHidden/>
          </w:rPr>
          <w:tab/>
        </w:r>
        <w:r>
          <w:rPr>
            <w:noProof/>
            <w:webHidden/>
          </w:rPr>
          <w:fldChar w:fldCharType="begin"/>
        </w:r>
        <w:r>
          <w:rPr>
            <w:noProof/>
            <w:webHidden/>
          </w:rPr>
          <w:instrText xml:space="preserve"> PAGEREF _Toc322126841 \h </w:instrText>
        </w:r>
        <w:r>
          <w:rPr>
            <w:noProof/>
            <w:webHidden/>
          </w:rPr>
        </w:r>
        <w:r>
          <w:rPr>
            <w:noProof/>
            <w:webHidden/>
          </w:rPr>
          <w:fldChar w:fldCharType="separate"/>
        </w:r>
        <w:r>
          <w:rPr>
            <w:noProof/>
            <w:webHidden/>
          </w:rPr>
          <w:t>31</w:t>
        </w:r>
        <w:r>
          <w:rPr>
            <w:noProof/>
            <w:webHidden/>
          </w:rPr>
          <w:fldChar w:fldCharType="end"/>
        </w:r>
      </w:hyperlink>
    </w:p>
    <w:p w:rsidR="00536549" w:rsidRDefault="00536549">
      <w:pPr>
        <w:pStyle w:val="TM4"/>
        <w:rPr>
          <w:rFonts w:asciiTheme="minorHAnsi" w:eastAsiaTheme="minorEastAsia" w:hAnsiTheme="minorHAnsi" w:cstheme="minorBidi"/>
          <w:i w:val="0"/>
          <w:noProof/>
          <w:sz w:val="22"/>
          <w:szCs w:val="22"/>
          <w:lang w:val="fr-FR" w:eastAsia="fr-FR"/>
        </w:rPr>
      </w:pPr>
      <w:hyperlink w:anchor="_Toc322126842" w:history="1">
        <w:r w:rsidRPr="005A2AA4">
          <w:rPr>
            <w:rStyle w:val="Lienhypertexte"/>
            <w:noProof/>
          </w:rPr>
          <w:t>5.2.1.2</w:t>
        </w:r>
        <w:r>
          <w:rPr>
            <w:rFonts w:asciiTheme="minorHAnsi" w:eastAsiaTheme="minorEastAsia" w:hAnsiTheme="minorHAnsi" w:cstheme="minorBidi"/>
            <w:i w:val="0"/>
            <w:noProof/>
            <w:sz w:val="22"/>
            <w:szCs w:val="22"/>
            <w:lang w:val="fr-FR" w:eastAsia="fr-FR"/>
          </w:rPr>
          <w:tab/>
        </w:r>
        <w:r w:rsidRPr="005A2AA4">
          <w:rPr>
            <w:rStyle w:val="Lienhypertexte"/>
            <w:noProof/>
          </w:rPr>
          <w:t>The terrestrial component can be deployed at national level.BDA2GC</w:t>
        </w:r>
        <w:r>
          <w:rPr>
            <w:noProof/>
            <w:webHidden/>
          </w:rPr>
          <w:tab/>
        </w:r>
        <w:r>
          <w:rPr>
            <w:noProof/>
            <w:webHidden/>
          </w:rPr>
          <w:fldChar w:fldCharType="begin"/>
        </w:r>
        <w:r>
          <w:rPr>
            <w:noProof/>
            <w:webHidden/>
          </w:rPr>
          <w:instrText xml:space="preserve"> PAGEREF _Toc322126842 \h </w:instrText>
        </w:r>
        <w:r>
          <w:rPr>
            <w:noProof/>
            <w:webHidden/>
          </w:rPr>
        </w:r>
        <w:r>
          <w:rPr>
            <w:noProof/>
            <w:webHidden/>
          </w:rPr>
          <w:fldChar w:fldCharType="separate"/>
        </w:r>
        <w:r>
          <w:rPr>
            <w:noProof/>
            <w:webHidden/>
          </w:rPr>
          <w:t>31</w:t>
        </w:r>
        <w:r>
          <w:rPr>
            <w:noProof/>
            <w:webHidden/>
          </w:rPr>
          <w:fldChar w:fldCharType="end"/>
        </w:r>
      </w:hyperlink>
    </w:p>
    <w:p w:rsidR="00536549" w:rsidRDefault="00536549">
      <w:pPr>
        <w:pStyle w:val="TM3"/>
        <w:rPr>
          <w:rFonts w:asciiTheme="minorHAnsi" w:eastAsiaTheme="minorEastAsia" w:hAnsiTheme="minorHAnsi" w:cstheme="minorBidi"/>
          <w:noProof/>
          <w:sz w:val="22"/>
          <w:szCs w:val="22"/>
          <w:lang w:val="fr-FR" w:eastAsia="fr-FR"/>
        </w:rPr>
      </w:pPr>
      <w:hyperlink w:anchor="_Toc322126843" w:history="1">
        <w:r w:rsidRPr="005A2AA4">
          <w:rPr>
            <w:rStyle w:val="Lienhypertexte"/>
            <w:noProof/>
          </w:rPr>
          <w:t>5.2.2</w:t>
        </w:r>
        <w:r>
          <w:rPr>
            <w:rFonts w:asciiTheme="minorHAnsi" w:eastAsiaTheme="minorEastAsia" w:hAnsiTheme="minorHAnsi" w:cstheme="minorBidi"/>
            <w:noProof/>
            <w:sz w:val="22"/>
            <w:szCs w:val="22"/>
            <w:lang w:val="fr-FR" w:eastAsia="fr-FR"/>
          </w:rPr>
          <w:tab/>
        </w:r>
        <w:r w:rsidRPr="005A2AA4">
          <w:rPr>
            <w:rStyle w:val="Lienhypertexte"/>
            <w:noProof/>
          </w:rPr>
          <w:t>Applications requiring the harmonisation and identification of spectrum for deployment at national level</w:t>
        </w:r>
        <w:r>
          <w:rPr>
            <w:noProof/>
            <w:webHidden/>
          </w:rPr>
          <w:tab/>
        </w:r>
        <w:r>
          <w:rPr>
            <w:noProof/>
            <w:webHidden/>
          </w:rPr>
          <w:fldChar w:fldCharType="begin"/>
        </w:r>
        <w:r>
          <w:rPr>
            <w:noProof/>
            <w:webHidden/>
          </w:rPr>
          <w:instrText xml:space="preserve"> PAGEREF _Toc322126843 \h </w:instrText>
        </w:r>
        <w:r>
          <w:rPr>
            <w:noProof/>
            <w:webHidden/>
          </w:rPr>
        </w:r>
        <w:r>
          <w:rPr>
            <w:noProof/>
            <w:webHidden/>
          </w:rPr>
          <w:fldChar w:fldCharType="separate"/>
        </w:r>
        <w:r>
          <w:rPr>
            <w:noProof/>
            <w:webHidden/>
          </w:rPr>
          <w:t>32</w:t>
        </w:r>
        <w:r>
          <w:rPr>
            <w:noProof/>
            <w:webHidden/>
          </w:rPr>
          <w:fldChar w:fldCharType="end"/>
        </w:r>
      </w:hyperlink>
    </w:p>
    <w:p w:rsidR="00536549" w:rsidRDefault="00536549">
      <w:pPr>
        <w:pStyle w:val="TM2"/>
        <w:rPr>
          <w:rFonts w:asciiTheme="minorHAnsi" w:eastAsiaTheme="minorEastAsia" w:hAnsiTheme="minorHAnsi" w:cstheme="minorBidi"/>
          <w:noProof/>
          <w:sz w:val="22"/>
          <w:szCs w:val="22"/>
          <w:lang w:val="fr-FR" w:eastAsia="fr-FR"/>
        </w:rPr>
      </w:pPr>
      <w:hyperlink w:anchor="_Toc322126844" w:history="1">
        <w:r w:rsidRPr="005A2AA4">
          <w:rPr>
            <w:rStyle w:val="Lienhypertexte"/>
            <w:noProof/>
          </w:rPr>
          <w:t>5.3</w:t>
        </w:r>
        <w:r>
          <w:rPr>
            <w:rFonts w:asciiTheme="minorHAnsi" w:eastAsiaTheme="minorEastAsia" w:hAnsiTheme="minorHAnsi" w:cstheme="minorBidi"/>
            <w:noProof/>
            <w:sz w:val="22"/>
            <w:szCs w:val="22"/>
            <w:lang w:val="fr-FR" w:eastAsia="fr-FR"/>
          </w:rPr>
          <w:tab/>
        </w:r>
        <w:r w:rsidRPr="005A2AA4">
          <w:rPr>
            <w:rStyle w:val="Lienhypertexte"/>
            <w:noProof/>
          </w:rPr>
          <w:t>Regulatory options considered</w:t>
        </w:r>
        <w:r>
          <w:rPr>
            <w:noProof/>
            <w:webHidden/>
          </w:rPr>
          <w:tab/>
        </w:r>
        <w:r>
          <w:rPr>
            <w:noProof/>
            <w:webHidden/>
          </w:rPr>
          <w:fldChar w:fldCharType="begin"/>
        </w:r>
        <w:r>
          <w:rPr>
            <w:noProof/>
            <w:webHidden/>
          </w:rPr>
          <w:instrText xml:space="preserve"> PAGEREF _Toc322126844 \h </w:instrText>
        </w:r>
        <w:r>
          <w:rPr>
            <w:noProof/>
            <w:webHidden/>
          </w:rPr>
        </w:r>
        <w:r>
          <w:rPr>
            <w:noProof/>
            <w:webHidden/>
          </w:rPr>
          <w:fldChar w:fldCharType="separate"/>
        </w:r>
        <w:r>
          <w:rPr>
            <w:noProof/>
            <w:webHidden/>
          </w:rPr>
          <w:t>32</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45" w:history="1">
        <w:r w:rsidRPr="005A2AA4">
          <w:rPr>
            <w:rStyle w:val="Lienhypertexte"/>
            <w:noProof/>
          </w:rPr>
          <w:t>ANNEX 1: Extract of the Radio Regulations Article 5 for 1452-1492 MHz</w:t>
        </w:r>
        <w:r>
          <w:rPr>
            <w:noProof/>
            <w:webHidden/>
          </w:rPr>
          <w:tab/>
        </w:r>
        <w:r>
          <w:rPr>
            <w:noProof/>
            <w:webHidden/>
          </w:rPr>
          <w:fldChar w:fldCharType="begin"/>
        </w:r>
        <w:r>
          <w:rPr>
            <w:noProof/>
            <w:webHidden/>
          </w:rPr>
          <w:instrText xml:space="preserve"> PAGEREF _Toc322126845 \h </w:instrText>
        </w:r>
        <w:r>
          <w:rPr>
            <w:noProof/>
            <w:webHidden/>
          </w:rPr>
        </w:r>
        <w:r>
          <w:rPr>
            <w:noProof/>
            <w:webHidden/>
          </w:rPr>
          <w:fldChar w:fldCharType="separate"/>
        </w:r>
        <w:r>
          <w:rPr>
            <w:noProof/>
            <w:webHidden/>
          </w:rPr>
          <w:t>35</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46" w:history="1">
        <w:r w:rsidRPr="005A2AA4">
          <w:rPr>
            <w:rStyle w:val="Lienhypertexte"/>
            <w:noProof/>
          </w:rPr>
          <w:t>ANNEX 2: Flexibility in MA02revCO07 Special Arrangement (1452 - 1479.5 MHz)</w:t>
        </w:r>
        <w:r>
          <w:rPr>
            <w:noProof/>
            <w:webHidden/>
          </w:rPr>
          <w:tab/>
        </w:r>
        <w:r>
          <w:rPr>
            <w:noProof/>
            <w:webHidden/>
          </w:rPr>
          <w:fldChar w:fldCharType="begin"/>
        </w:r>
        <w:r>
          <w:rPr>
            <w:noProof/>
            <w:webHidden/>
          </w:rPr>
          <w:instrText xml:space="preserve"> PAGEREF _Toc322126846 \h </w:instrText>
        </w:r>
        <w:r>
          <w:rPr>
            <w:noProof/>
            <w:webHidden/>
          </w:rPr>
        </w:r>
        <w:r>
          <w:rPr>
            <w:noProof/>
            <w:webHidden/>
          </w:rPr>
          <w:fldChar w:fldCharType="separate"/>
        </w:r>
        <w:r>
          <w:rPr>
            <w:noProof/>
            <w:webHidden/>
          </w:rPr>
          <w:t>36</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47" w:history="1">
        <w:r w:rsidRPr="005A2AA4">
          <w:rPr>
            <w:rStyle w:val="Lienhypertexte"/>
            <w:noProof/>
          </w:rPr>
          <w:t>ANNEX 3:</w:t>
        </w:r>
        <w:r w:rsidRPr="005A2AA4">
          <w:rPr>
            <w:rStyle w:val="Lienhypertexte"/>
            <w:noProof/>
            <w:lang w:val="en-AU"/>
          </w:rPr>
          <w:t xml:space="preserve"> 1452-1479.5  MHz band utilisation in some CEPT countries (updated information compared to the ECC survey conducted in December 2010 – January 2011)</w:t>
        </w:r>
        <w:r>
          <w:rPr>
            <w:noProof/>
            <w:webHidden/>
          </w:rPr>
          <w:tab/>
        </w:r>
        <w:r>
          <w:rPr>
            <w:noProof/>
            <w:webHidden/>
          </w:rPr>
          <w:fldChar w:fldCharType="begin"/>
        </w:r>
        <w:r>
          <w:rPr>
            <w:noProof/>
            <w:webHidden/>
          </w:rPr>
          <w:instrText xml:space="preserve"> PAGEREF _Toc322126847 \h </w:instrText>
        </w:r>
        <w:r>
          <w:rPr>
            <w:noProof/>
            <w:webHidden/>
          </w:rPr>
        </w:r>
        <w:r>
          <w:rPr>
            <w:noProof/>
            <w:webHidden/>
          </w:rPr>
          <w:fldChar w:fldCharType="separate"/>
        </w:r>
        <w:r>
          <w:rPr>
            <w:noProof/>
            <w:webHidden/>
          </w:rPr>
          <w:t>45</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48" w:history="1">
        <w:r w:rsidRPr="005A2AA4">
          <w:rPr>
            <w:rStyle w:val="Lienhypertexte"/>
            <w:noProof/>
          </w:rPr>
          <w:t>ANNEX 4: overview of the use/regulations of the band 1452-1492 MHzin a number of countries outside from CEPT</w:t>
        </w:r>
        <w:r>
          <w:rPr>
            <w:noProof/>
            <w:webHidden/>
          </w:rPr>
          <w:tab/>
        </w:r>
        <w:r>
          <w:rPr>
            <w:noProof/>
            <w:webHidden/>
          </w:rPr>
          <w:fldChar w:fldCharType="begin"/>
        </w:r>
        <w:r>
          <w:rPr>
            <w:noProof/>
            <w:webHidden/>
          </w:rPr>
          <w:instrText xml:space="preserve"> PAGEREF _Toc322126848 \h </w:instrText>
        </w:r>
        <w:r>
          <w:rPr>
            <w:noProof/>
            <w:webHidden/>
          </w:rPr>
        </w:r>
        <w:r>
          <w:rPr>
            <w:noProof/>
            <w:webHidden/>
          </w:rPr>
          <w:fldChar w:fldCharType="separate"/>
        </w:r>
        <w:r>
          <w:rPr>
            <w:noProof/>
            <w:webHidden/>
          </w:rPr>
          <w:t>47</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49" w:history="1">
        <w:r w:rsidRPr="005A2AA4">
          <w:rPr>
            <w:rStyle w:val="Lienhypertexte"/>
            <w:noProof/>
          </w:rPr>
          <w:t>ANNEX 5: Broadcasting standards</w:t>
        </w:r>
        <w:r>
          <w:rPr>
            <w:noProof/>
            <w:webHidden/>
          </w:rPr>
          <w:tab/>
        </w:r>
        <w:r>
          <w:rPr>
            <w:noProof/>
            <w:webHidden/>
          </w:rPr>
          <w:fldChar w:fldCharType="begin"/>
        </w:r>
        <w:r>
          <w:rPr>
            <w:noProof/>
            <w:webHidden/>
          </w:rPr>
          <w:instrText xml:space="preserve"> PAGEREF _Toc322126849 \h </w:instrText>
        </w:r>
        <w:r>
          <w:rPr>
            <w:noProof/>
            <w:webHidden/>
          </w:rPr>
        </w:r>
        <w:r>
          <w:rPr>
            <w:noProof/>
            <w:webHidden/>
          </w:rPr>
          <w:fldChar w:fldCharType="separate"/>
        </w:r>
        <w:r>
          <w:rPr>
            <w:noProof/>
            <w:webHidden/>
          </w:rPr>
          <w:t>49</w:t>
        </w:r>
        <w:r>
          <w:rPr>
            <w:noProof/>
            <w:webHidden/>
          </w:rPr>
          <w:fldChar w:fldCharType="end"/>
        </w:r>
      </w:hyperlink>
    </w:p>
    <w:p w:rsidR="00536549" w:rsidRDefault="00536549">
      <w:pPr>
        <w:pStyle w:val="TM1"/>
        <w:rPr>
          <w:rFonts w:asciiTheme="minorHAnsi" w:eastAsiaTheme="minorEastAsia" w:hAnsiTheme="minorHAnsi" w:cstheme="minorBidi"/>
          <w:b w:val="0"/>
          <w:caps w:val="0"/>
          <w:noProof/>
          <w:sz w:val="22"/>
          <w:szCs w:val="22"/>
          <w:lang w:val="fr-FR" w:eastAsia="fr-FR"/>
        </w:rPr>
      </w:pPr>
      <w:hyperlink w:anchor="_Toc322126850" w:history="1">
        <w:r w:rsidRPr="005A2AA4">
          <w:rPr>
            <w:rStyle w:val="Lienhypertexte"/>
            <w:noProof/>
          </w:rPr>
          <w:t>ANNEX 6: List of reference</w:t>
        </w:r>
        <w:r>
          <w:rPr>
            <w:noProof/>
            <w:webHidden/>
          </w:rPr>
          <w:tab/>
        </w:r>
        <w:r>
          <w:rPr>
            <w:noProof/>
            <w:webHidden/>
          </w:rPr>
          <w:fldChar w:fldCharType="begin"/>
        </w:r>
        <w:r>
          <w:rPr>
            <w:noProof/>
            <w:webHidden/>
          </w:rPr>
          <w:instrText xml:space="preserve"> PAGEREF _Toc322126850 \h </w:instrText>
        </w:r>
        <w:r>
          <w:rPr>
            <w:noProof/>
            <w:webHidden/>
          </w:rPr>
        </w:r>
        <w:r>
          <w:rPr>
            <w:noProof/>
            <w:webHidden/>
          </w:rPr>
          <w:fldChar w:fldCharType="separate"/>
        </w:r>
        <w:r>
          <w:rPr>
            <w:noProof/>
            <w:webHidden/>
          </w:rPr>
          <w:t>52</w:t>
        </w:r>
        <w:r>
          <w:rPr>
            <w:noProof/>
            <w:webHidden/>
          </w:rPr>
          <w:fldChar w:fldCharType="end"/>
        </w:r>
      </w:hyperlink>
    </w:p>
    <w:p w:rsidR="008A54FC" w:rsidRDefault="008A54FC" w:rsidP="008A54FC">
      <w:r>
        <w:rPr>
          <w:caps/>
          <w:lang w:val="en-GB"/>
        </w:rPr>
        <w:fldChar w:fldCharType="end"/>
      </w:r>
    </w:p>
    <w:p w:rsidR="008A54FC" w:rsidRDefault="008A54FC" w:rsidP="008A54FC">
      <w:r>
        <w:br w:type="page"/>
      </w:r>
    </w:p>
    <w:p w:rsidR="008A54FC" w:rsidRPr="009B4646" w:rsidRDefault="008A54FC" w:rsidP="008A54FC">
      <w:pPr>
        <w:rPr>
          <w:b/>
          <w:color w:val="FFFFFF"/>
          <w:szCs w:val="20"/>
        </w:rPr>
      </w:pPr>
    </w:p>
    <w:p w:rsidR="008B70CD" w:rsidRDefault="008B70CD" w:rsidP="008A54FC">
      <w:pPr>
        <w:rPr>
          <w:b/>
          <w:color w:val="FFFFFF"/>
          <w:szCs w:val="20"/>
        </w:rPr>
      </w:pPr>
    </w:p>
    <w:p w:rsidR="008A54FC" w:rsidRPr="009B4646" w:rsidRDefault="00DF2C67" w:rsidP="008A54FC">
      <w:pPr>
        <w:rPr>
          <w:b/>
          <w:color w:val="FFFFFF"/>
          <w:szCs w:val="20"/>
        </w:rPr>
      </w:pPr>
      <w:r>
        <w:rPr>
          <w:b/>
          <w:noProof/>
          <w:color w:val="FFFFFF"/>
          <w:szCs w:val="20"/>
          <w:lang w:val="fr-FR" w:eastAsia="fr-FR"/>
        </w:rPr>
        <mc:AlternateContent>
          <mc:Choice Requires="wps">
            <w:drawing>
              <wp:anchor distT="0" distB="0" distL="114300" distR="114300" simplePos="0" relativeHeight="251659264" behindDoc="1" locked="0" layoutInCell="1" allowOverlap="1" wp14:anchorId="63899F72" wp14:editId="31B6D339">
                <wp:simplePos x="0" y="0"/>
                <wp:positionH relativeFrom="page">
                  <wp:align>center</wp:align>
                </wp:positionH>
                <wp:positionV relativeFrom="page">
                  <wp:posOffset>900430</wp:posOffset>
                </wp:positionV>
                <wp:extent cx="7560310" cy="720090"/>
                <wp:effectExtent l="0" t="0" r="0" b="5080"/>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0;margin-top:70.9pt;width:595.3pt;height:56.7pt;z-index:-25165721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11KfwIAAPw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" fillcolor="#b0a696" stroked="f">
                <w10:wrap anchorx="page" anchory="page"/>
              </v:rect>
            </w:pict>
          </mc:Fallback>
        </mc:AlternateContent>
      </w:r>
      <w:r w:rsidR="008A54FC" w:rsidRPr="009B4646">
        <w:rPr>
          <w:b/>
          <w:color w:val="FFFFFF"/>
          <w:szCs w:val="20"/>
        </w:rPr>
        <w:t>LIST OF ABBREVIATIONS</w:t>
      </w:r>
    </w:p>
    <w:p w:rsidR="008A54FC" w:rsidRPr="00C95C7C" w:rsidRDefault="008A54FC" w:rsidP="008A54FC">
      <w:pPr>
        <w:rPr>
          <w:b/>
          <w:color w:val="FFFFFF"/>
          <w:szCs w:val="20"/>
        </w:rPr>
      </w:pPr>
    </w:p>
    <w:p w:rsidR="008A54FC" w:rsidRPr="00C95C7C" w:rsidRDefault="008A54FC" w:rsidP="008A54FC">
      <w:pPr>
        <w:rPr>
          <w:b/>
          <w:color w:val="FFFFFF"/>
          <w:szCs w:val="20"/>
        </w:rPr>
      </w:pPr>
    </w:p>
    <w:p w:rsidR="008A54FC" w:rsidRDefault="008A54FC" w:rsidP="008A54FC"/>
    <w:p w:rsidR="008A54FC" w:rsidRDefault="008A54FC" w:rsidP="008A54FC"/>
    <w:tbl>
      <w:tblPr>
        <w:tblW w:w="0" w:type="auto"/>
        <w:tblCellMar>
          <w:top w:w="11" w:type="dxa"/>
          <w:bottom w:w="11" w:type="dxa"/>
        </w:tblCellMar>
        <w:tblLook w:val="01E0" w:firstRow="1" w:lastRow="1" w:firstColumn="1" w:lastColumn="1" w:noHBand="0" w:noVBand="0"/>
      </w:tblPr>
      <w:tblGrid>
        <w:gridCol w:w="2041"/>
        <w:gridCol w:w="7245"/>
      </w:tblGrid>
      <w:tr w:rsidR="008A54FC" w:rsidTr="00B055B7">
        <w:trPr>
          <w:trHeight w:val="76"/>
        </w:trPr>
        <w:tc>
          <w:tcPr>
            <w:tcW w:w="2041" w:type="dxa"/>
          </w:tcPr>
          <w:p w:rsidR="008A54FC" w:rsidRPr="00CB0AD7" w:rsidRDefault="008A54FC" w:rsidP="008A54FC">
            <w:pPr>
              <w:spacing w:line="288" w:lineRule="auto"/>
              <w:rPr>
                <w:b/>
                <w:color w:val="D2232A"/>
              </w:rPr>
            </w:pPr>
            <w:r w:rsidRPr="00CB0AD7">
              <w:rPr>
                <w:b/>
                <w:color w:val="D2232A"/>
              </w:rPr>
              <w:t>Abbreviation</w:t>
            </w:r>
          </w:p>
        </w:tc>
        <w:tc>
          <w:tcPr>
            <w:tcW w:w="7245" w:type="dxa"/>
          </w:tcPr>
          <w:p w:rsidR="008A54FC" w:rsidRPr="00CB0AD7" w:rsidRDefault="00C73C6D" w:rsidP="00C73C6D">
            <w:pPr>
              <w:spacing w:line="288" w:lineRule="auto"/>
              <w:rPr>
                <w:b/>
                <w:color w:val="D2232A"/>
              </w:rPr>
            </w:pPr>
            <w:r>
              <w:rPr>
                <w:b/>
                <w:color w:val="D2232A"/>
              </w:rPr>
              <w:t>Explanation</w:t>
            </w:r>
          </w:p>
        </w:tc>
      </w:tr>
      <w:tr w:rsidR="006D1BB1" w:rsidTr="00B055B7">
        <w:tc>
          <w:tcPr>
            <w:tcW w:w="2041" w:type="dxa"/>
          </w:tcPr>
          <w:p w:rsidR="006D1BB1" w:rsidRPr="00C73C6D" w:rsidRDefault="006D1BB1">
            <w:pPr>
              <w:rPr>
                <w:b/>
              </w:rPr>
            </w:pPr>
            <w:r w:rsidRPr="00C73C6D">
              <w:rPr>
                <w:b/>
              </w:rPr>
              <w:t>BDA2GC</w:t>
            </w:r>
          </w:p>
        </w:tc>
        <w:tc>
          <w:tcPr>
            <w:tcW w:w="7245" w:type="dxa"/>
          </w:tcPr>
          <w:p w:rsidR="006D1BB1" w:rsidRDefault="00C73C6D" w:rsidP="00C73C6D">
            <w:r w:rsidRPr="00C73C6D">
              <w:t>Broadband Direct-Air-to-Ground Communications</w:t>
            </w:r>
          </w:p>
        </w:tc>
      </w:tr>
      <w:tr w:rsidR="008A54FC" w:rsidTr="00B055B7">
        <w:tc>
          <w:tcPr>
            <w:tcW w:w="2041" w:type="dxa"/>
          </w:tcPr>
          <w:p w:rsidR="008A54FC" w:rsidRPr="00C95C7C" w:rsidRDefault="008A54FC" w:rsidP="008A54FC">
            <w:pPr>
              <w:spacing w:line="288" w:lineRule="auto"/>
              <w:rPr>
                <w:b/>
              </w:rPr>
            </w:pPr>
            <w:r w:rsidRPr="00C95C7C">
              <w:rPr>
                <w:b/>
              </w:rPr>
              <w:t>CEPT</w:t>
            </w:r>
          </w:p>
        </w:tc>
        <w:tc>
          <w:tcPr>
            <w:tcW w:w="7245" w:type="dxa"/>
          </w:tcPr>
          <w:p w:rsidR="008A54FC" w:rsidRPr="00485067" w:rsidRDefault="008A54FC" w:rsidP="008A54FC">
            <w:pPr>
              <w:spacing w:line="288" w:lineRule="auto"/>
              <w:rPr>
                <w:szCs w:val="20"/>
              </w:rPr>
            </w:pPr>
            <w:r w:rsidRPr="00485067">
              <w:rPr>
                <w:szCs w:val="20"/>
              </w:rPr>
              <w:t>European Conference of Postal and Telecommunications Administrations</w:t>
            </w:r>
          </w:p>
        </w:tc>
      </w:tr>
      <w:tr w:rsidR="00C73C6D" w:rsidTr="00B055B7">
        <w:tc>
          <w:tcPr>
            <w:tcW w:w="2041" w:type="dxa"/>
          </w:tcPr>
          <w:p w:rsidR="00C73C6D" w:rsidRPr="00C95C7C" w:rsidRDefault="00C73C6D" w:rsidP="008A54FC">
            <w:pPr>
              <w:spacing w:line="288" w:lineRule="auto"/>
              <w:rPr>
                <w:b/>
              </w:rPr>
            </w:pPr>
            <w:r>
              <w:rPr>
                <w:b/>
              </w:rPr>
              <w:t>DVB</w:t>
            </w:r>
          </w:p>
        </w:tc>
        <w:tc>
          <w:tcPr>
            <w:tcW w:w="7245" w:type="dxa"/>
          </w:tcPr>
          <w:p w:rsidR="00C73C6D" w:rsidRPr="00485067" w:rsidRDefault="00C73C6D" w:rsidP="008A54FC">
            <w:pPr>
              <w:spacing w:line="288" w:lineRule="auto"/>
              <w:rPr>
                <w:szCs w:val="20"/>
              </w:rPr>
            </w:pPr>
            <w:r>
              <w:t>Digital Video Broadcasting</w:t>
            </w:r>
          </w:p>
        </w:tc>
      </w:tr>
      <w:tr w:rsidR="008A54FC" w:rsidTr="00B055B7">
        <w:tc>
          <w:tcPr>
            <w:tcW w:w="2041" w:type="dxa"/>
          </w:tcPr>
          <w:p w:rsidR="008A54FC" w:rsidRPr="00C95C7C" w:rsidRDefault="008A54FC" w:rsidP="008A54FC">
            <w:pPr>
              <w:spacing w:line="288" w:lineRule="auto"/>
              <w:rPr>
                <w:b/>
              </w:rPr>
            </w:pPr>
            <w:r w:rsidRPr="00C95C7C">
              <w:rPr>
                <w:b/>
              </w:rPr>
              <w:t>ECC</w:t>
            </w:r>
          </w:p>
        </w:tc>
        <w:tc>
          <w:tcPr>
            <w:tcW w:w="7245" w:type="dxa"/>
          </w:tcPr>
          <w:p w:rsidR="008A54FC" w:rsidRPr="00485067" w:rsidRDefault="008A54FC" w:rsidP="008A54FC">
            <w:pPr>
              <w:pStyle w:val="ECCParagraph"/>
              <w:spacing w:after="0" w:line="288" w:lineRule="auto"/>
              <w:jc w:val="left"/>
              <w:rPr>
                <w:szCs w:val="20"/>
              </w:rPr>
            </w:pPr>
            <w:r w:rsidRPr="00A45B9B">
              <w:t>Electronic Communications Committee</w:t>
            </w:r>
          </w:p>
        </w:tc>
      </w:tr>
      <w:tr w:rsidR="00B055B7" w:rsidTr="00B055B7">
        <w:tc>
          <w:tcPr>
            <w:tcW w:w="2041" w:type="dxa"/>
          </w:tcPr>
          <w:p w:rsidR="00B055B7" w:rsidRPr="00C95C7C" w:rsidRDefault="00B055B7" w:rsidP="008A54FC">
            <w:pPr>
              <w:spacing w:line="288" w:lineRule="auto"/>
              <w:rPr>
                <w:b/>
              </w:rPr>
            </w:pPr>
            <w:r w:rsidRPr="00B055B7">
              <w:rPr>
                <w:b/>
              </w:rPr>
              <w:t>EU</w:t>
            </w:r>
          </w:p>
        </w:tc>
        <w:tc>
          <w:tcPr>
            <w:tcW w:w="7245" w:type="dxa"/>
          </w:tcPr>
          <w:p w:rsidR="00B055B7" w:rsidRPr="00A45B9B" w:rsidRDefault="00B055B7" w:rsidP="008A54FC">
            <w:pPr>
              <w:pStyle w:val="ECCParagraph"/>
              <w:spacing w:after="0" w:line="288" w:lineRule="auto"/>
              <w:jc w:val="left"/>
            </w:pPr>
            <w:r>
              <w:t>European Union</w:t>
            </w:r>
          </w:p>
        </w:tc>
      </w:tr>
      <w:tr w:rsidR="00C73C6D" w:rsidTr="00B055B7">
        <w:tc>
          <w:tcPr>
            <w:tcW w:w="2041" w:type="dxa"/>
          </w:tcPr>
          <w:p w:rsidR="00C73C6D" w:rsidRPr="00B055B7" w:rsidRDefault="00C73C6D" w:rsidP="008A54FC">
            <w:pPr>
              <w:spacing w:line="288" w:lineRule="auto"/>
              <w:rPr>
                <w:b/>
              </w:rPr>
            </w:pPr>
            <w:r>
              <w:rPr>
                <w:b/>
              </w:rPr>
              <w:t>FDD</w:t>
            </w:r>
          </w:p>
        </w:tc>
        <w:tc>
          <w:tcPr>
            <w:tcW w:w="7245" w:type="dxa"/>
          </w:tcPr>
          <w:p w:rsidR="00C73C6D" w:rsidRDefault="00C73C6D" w:rsidP="008A54FC">
            <w:pPr>
              <w:pStyle w:val="ECCParagraph"/>
              <w:spacing w:after="0" w:line="288" w:lineRule="auto"/>
              <w:jc w:val="left"/>
            </w:pPr>
            <w:r>
              <w:t>Frequency Division Duplex</w:t>
            </w:r>
          </w:p>
        </w:tc>
      </w:tr>
      <w:tr w:rsidR="00B055B7" w:rsidTr="00B055B7">
        <w:tc>
          <w:tcPr>
            <w:tcW w:w="2041" w:type="dxa"/>
          </w:tcPr>
          <w:p w:rsidR="00B055B7" w:rsidRPr="00B055B7" w:rsidRDefault="00B055B7">
            <w:pPr>
              <w:rPr>
                <w:b/>
              </w:rPr>
            </w:pPr>
            <w:r w:rsidRPr="00B055B7">
              <w:rPr>
                <w:b/>
              </w:rPr>
              <w:t xml:space="preserve">ITU-R </w:t>
            </w:r>
          </w:p>
        </w:tc>
        <w:tc>
          <w:tcPr>
            <w:tcW w:w="7245" w:type="dxa"/>
          </w:tcPr>
          <w:p w:rsidR="00B055B7" w:rsidRDefault="00B055B7">
            <w:r w:rsidRPr="00B055B7">
              <w:t>International Telecommunication Union</w:t>
            </w:r>
            <w:r>
              <w:t xml:space="preserve"> Radiocommunications</w:t>
            </w:r>
          </w:p>
        </w:tc>
      </w:tr>
      <w:tr w:rsidR="008A54FC" w:rsidTr="00B055B7">
        <w:tc>
          <w:tcPr>
            <w:tcW w:w="2041" w:type="dxa"/>
          </w:tcPr>
          <w:p w:rsidR="008A54FC" w:rsidRPr="00C95C7C" w:rsidRDefault="00B055B7" w:rsidP="008A54FC">
            <w:pPr>
              <w:spacing w:line="288" w:lineRule="auto"/>
              <w:rPr>
                <w:b/>
              </w:rPr>
            </w:pPr>
            <w:r w:rsidRPr="00B055B7">
              <w:rPr>
                <w:b/>
              </w:rPr>
              <w:t>MA02revCO07</w:t>
            </w:r>
          </w:p>
        </w:tc>
        <w:tc>
          <w:tcPr>
            <w:tcW w:w="7245" w:type="dxa"/>
          </w:tcPr>
          <w:p w:rsidR="008A54FC" w:rsidRPr="00A45B9B" w:rsidRDefault="00B055B7" w:rsidP="008A54FC">
            <w:pPr>
              <w:pStyle w:val="ECCParagraph"/>
              <w:spacing w:after="0" w:line="288" w:lineRule="auto"/>
              <w:jc w:val="left"/>
            </w:pPr>
            <w:r w:rsidRPr="00B055B7">
              <w:t>Maastricht, 2002, Special Arrangement, as revised in Constanţa, 2007</w:t>
            </w:r>
          </w:p>
        </w:tc>
      </w:tr>
      <w:tr w:rsidR="00C73C6D" w:rsidTr="00B055B7">
        <w:tc>
          <w:tcPr>
            <w:tcW w:w="2041" w:type="dxa"/>
          </w:tcPr>
          <w:p w:rsidR="00C73C6D" w:rsidRPr="00B055B7" w:rsidRDefault="00C73C6D" w:rsidP="008A54FC">
            <w:pPr>
              <w:spacing w:line="288" w:lineRule="auto"/>
              <w:rPr>
                <w:b/>
              </w:rPr>
            </w:pPr>
            <w:r w:rsidRPr="00C73C6D">
              <w:rPr>
                <w:b/>
              </w:rPr>
              <w:t>PPDR</w:t>
            </w:r>
          </w:p>
        </w:tc>
        <w:tc>
          <w:tcPr>
            <w:tcW w:w="7245" w:type="dxa"/>
          </w:tcPr>
          <w:p w:rsidR="00C73C6D" w:rsidRPr="00B055B7" w:rsidRDefault="00C73C6D" w:rsidP="008A54FC">
            <w:pPr>
              <w:pStyle w:val="ECCParagraph"/>
              <w:spacing w:after="0" w:line="288" w:lineRule="auto"/>
              <w:jc w:val="left"/>
            </w:pPr>
            <w:r w:rsidRPr="00C73C6D">
              <w:t>Broadband Public Protection and Disaster Relief</w:t>
            </w:r>
          </w:p>
        </w:tc>
      </w:tr>
      <w:tr w:rsidR="006D1BB1" w:rsidTr="00B055B7">
        <w:tc>
          <w:tcPr>
            <w:tcW w:w="2041" w:type="dxa"/>
          </w:tcPr>
          <w:p w:rsidR="006D1BB1" w:rsidRPr="00B055B7" w:rsidRDefault="006D1BB1" w:rsidP="008A54FC">
            <w:pPr>
              <w:spacing w:line="288" w:lineRule="auto"/>
              <w:rPr>
                <w:b/>
              </w:rPr>
            </w:pPr>
            <w:r>
              <w:rPr>
                <w:b/>
              </w:rPr>
              <w:t>PMSE</w:t>
            </w:r>
          </w:p>
        </w:tc>
        <w:tc>
          <w:tcPr>
            <w:tcW w:w="7245" w:type="dxa"/>
          </w:tcPr>
          <w:p w:rsidR="006D1BB1" w:rsidRPr="00B055B7" w:rsidRDefault="006D1BB1" w:rsidP="008A54FC">
            <w:pPr>
              <w:pStyle w:val="ECCParagraph"/>
              <w:spacing w:after="0" w:line="288" w:lineRule="auto"/>
              <w:jc w:val="left"/>
            </w:pPr>
            <w:r>
              <w:t>Programme Making and Special Events</w:t>
            </w:r>
          </w:p>
        </w:tc>
      </w:tr>
      <w:tr w:rsidR="008A54FC" w:rsidTr="00B055B7">
        <w:tc>
          <w:tcPr>
            <w:tcW w:w="2041" w:type="dxa"/>
          </w:tcPr>
          <w:p w:rsidR="008A54FC" w:rsidRPr="00C95C7C" w:rsidRDefault="00B055B7" w:rsidP="00B055B7">
            <w:pPr>
              <w:spacing w:line="288" w:lineRule="auto"/>
              <w:rPr>
                <w:b/>
              </w:rPr>
            </w:pPr>
            <w:r w:rsidRPr="00B055B7">
              <w:rPr>
                <w:b/>
              </w:rPr>
              <w:t>S-DAB</w:t>
            </w:r>
          </w:p>
        </w:tc>
        <w:tc>
          <w:tcPr>
            <w:tcW w:w="7245" w:type="dxa"/>
          </w:tcPr>
          <w:p w:rsidR="008A54FC" w:rsidRPr="00485067" w:rsidRDefault="00B055B7" w:rsidP="008A54FC">
            <w:pPr>
              <w:pStyle w:val="ECCParagraph"/>
              <w:spacing w:after="0" w:line="288" w:lineRule="auto"/>
              <w:jc w:val="left"/>
              <w:rPr>
                <w:color w:val="000000"/>
              </w:rPr>
            </w:pPr>
            <w:r>
              <w:rPr>
                <w:color w:val="000000"/>
              </w:rPr>
              <w:t>Satellite Digital Audio Broadcasting</w:t>
            </w:r>
          </w:p>
        </w:tc>
      </w:tr>
      <w:tr w:rsidR="00C73C6D" w:rsidTr="00B055B7">
        <w:tc>
          <w:tcPr>
            <w:tcW w:w="2041" w:type="dxa"/>
          </w:tcPr>
          <w:p w:rsidR="00C73C6D" w:rsidRPr="00B055B7" w:rsidRDefault="00C73C6D" w:rsidP="00B055B7">
            <w:pPr>
              <w:spacing w:line="288" w:lineRule="auto"/>
              <w:rPr>
                <w:b/>
              </w:rPr>
            </w:pPr>
          </w:p>
        </w:tc>
        <w:tc>
          <w:tcPr>
            <w:tcW w:w="7245" w:type="dxa"/>
          </w:tcPr>
          <w:p w:rsidR="00C73C6D" w:rsidRDefault="00C73C6D" w:rsidP="008A54FC">
            <w:pPr>
              <w:pStyle w:val="ECCParagraph"/>
              <w:spacing w:after="0" w:line="288" w:lineRule="auto"/>
              <w:jc w:val="left"/>
              <w:rPr>
                <w:color w:val="000000"/>
              </w:rPr>
            </w:pPr>
          </w:p>
        </w:tc>
      </w:tr>
      <w:tr w:rsidR="008A54FC" w:rsidTr="00B055B7">
        <w:tc>
          <w:tcPr>
            <w:tcW w:w="2041" w:type="dxa"/>
          </w:tcPr>
          <w:p w:rsidR="008A54FC" w:rsidRPr="00C95C7C" w:rsidRDefault="00B055B7" w:rsidP="00B055B7">
            <w:pPr>
              <w:spacing w:line="288" w:lineRule="auto"/>
              <w:rPr>
                <w:b/>
              </w:rPr>
            </w:pPr>
            <w:r w:rsidRPr="00B055B7">
              <w:rPr>
                <w:b/>
              </w:rPr>
              <w:t xml:space="preserve">T-DAB </w:t>
            </w:r>
          </w:p>
        </w:tc>
        <w:tc>
          <w:tcPr>
            <w:tcW w:w="7245" w:type="dxa"/>
          </w:tcPr>
          <w:p w:rsidR="008A54FC" w:rsidRDefault="00B055B7" w:rsidP="008A54FC">
            <w:pPr>
              <w:spacing w:line="288" w:lineRule="auto"/>
            </w:pPr>
            <w:r>
              <w:rPr>
                <w:color w:val="000000"/>
              </w:rPr>
              <w:t>Terrestrial Digital Audio Broadcasting</w:t>
            </w:r>
          </w:p>
        </w:tc>
      </w:tr>
      <w:tr w:rsidR="008A54FC" w:rsidTr="00B055B7">
        <w:tc>
          <w:tcPr>
            <w:tcW w:w="2041" w:type="dxa"/>
          </w:tcPr>
          <w:p w:rsidR="008A54FC" w:rsidRPr="00C95C7C" w:rsidRDefault="00C73C6D" w:rsidP="008A54FC">
            <w:pPr>
              <w:spacing w:line="288" w:lineRule="auto"/>
              <w:rPr>
                <w:b/>
              </w:rPr>
            </w:pPr>
            <w:r>
              <w:rPr>
                <w:b/>
              </w:rPr>
              <w:t>TDD</w:t>
            </w:r>
          </w:p>
        </w:tc>
        <w:tc>
          <w:tcPr>
            <w:tcW w:w="7245" w:type="dxa"/>
          </w:tcPr>
          <w:p w:rsidR="008A54FC" w:rsidRDefault="00C73C6D" w:rsidP="008A54FC">
            <w:pPr>
              <w:spacing w:line="288" w:lineRule="auto"/>
            </w:pPr>
            <w:r>
              <w:t>Time Division Duplex</w:t>
            </w:r>
          </w:p>
        </w:tc>
      </w:tr>
    </w:tbl>
    <w:p w:rsidR="00797D4C" w:rsidRDefault="00AA1738" w:rsidP="00797D4C">
      <w:pPr>
        <w:pStyle w:val="Titre1"/>
      </w:pPr>
      <w:bookmarkStart w:id="4" w:name="_Toc322126788"/>
      <w:r>
        <w:lastRenderedPageBreak/>
        <w:t>Description of the context of the study</w:t>
      </w:r>
      <w:bookmarkEnd w:id="4"/>
    </w:p>
    <w:p w:rsidR="00067793" w:rsidRDefault="00AA1738" w:rsidP="00E41E35">
      <w:pPr>
        <w:pStyle w:val="Titre2"/>
      </w:pPr>
      <w:bookmarkStart w:id="5" w:name="_Toc322126789"/>
      <w:r>
        <w:t>Regulation within CEPT</w:t>
      </w:r>
      <w:bookmarkEnd w:id="5"/>
    </w:p>
    <w:p w:rsidR="00AA1738" w:rsidRDefault="00AA1738" w:rsidP="00026A63">
      <w:pPr>
        <w:pStyle w:val="ECCParagraph"/>
        <w:rPr>
          <w:i/>
          <w:iCs/>
        </w:rPr>
      </w:pPr>
      <w:r w:rsidRPr="009251D6">
        <w:t>The ITU Radio Regulations alloc</w:t>
      </w:r>
      <w:r>
        <w:t xml:space="preserve">ate the band 1452 – 1492 MHz </w:t>
      </w:r>
      <w:r w:rsidRPr="008B3717">
        <w:t xml:space="preserve">in Region 1 </w:t>
      </w:r>
      <w:r>
        <w:t xml:space="preserve">to the Fixed, Mobile </w:t>
      </w:r>
      <w:r w:rsidRPr="008B3717">
        <w:t>(except aeronautical mobile)</w:t>
      </w:r>
      <w:r w:rsidRPr="00995DE2">
        <w:t>,</w:t>
      </w:r>
      <w:r>
        <w:t xml:space="preserve"> Broadcasting and Broadcasting Satellite S</w:t>
      </w:r>
      <w:r w:rsidRPr="009251D6">
        <w:t xml:space="preserve">ervice </w:t>
      </w:r>
      <w:r>
        <w:t xml:space="preserve">on a co-primary basis  . </w:t>
      </w:r>
      <w:r w:rsidRPr="009251D6">
        <w:t>Several footnotes apply to the band.</w:t>
      </w:r>
      <w:r>
        <w:t xml:space="preserve"> </w:t>
      </w:r>
      <w:r w:rsidRPr="009251D6">
        <w:t xml:space="preserve">The </w:t>
      </w:r>
      <w:r>
        <w:t xml:space="preserve">details for this band </w:t>
      </w:r>
      <w:r w:rsidRPr="009251D6">
        <w:t>extract</w:t>
      </w:r>
      <w:r>
        <w:t>ed</w:t>
      </w:r>
      <w:r w:rsidRPr="009251D6">
        <w:t xml:space="preserve"> from Article 5 of the R</w:t>
      </w:r>
      <w:r>
        <w:t>adio Regulations</w:t>
      </w:r>
      <w:r w:rsidRPr="009251D6">
        <w:t xml:space="preserve"> </w:t>
      </w:r>
      <w:r w:rsidRPr="008B3717">
        <w:t xml:space="preserve">(including Region 2 and Region 3) </w:t>
      </w:r>
      <w:r>
        <w:t>are</w:t>
      </w:r>
      <w:r w:rsidRPr="009251D6">
        <w:t xml:space="preserve"> given in Annex I.</w:t>
      </w:r>
    </w:p>
    <w:p w:rsidR="00AA1738" w:rsidRDefault="00AA1738" w:rsidP="00026A63">
      <w:pPr>
        <w:pStyle w:val="ECCParagraph"/>
      </w:pPr>
      <w:r>
        <w:rPr>
          <w:szCs w:val="20"/>
        </w:rPr>
        <w:t xml:space="preserve">According to footnote No. 5.342 </w:t>
      </w:r>
      <w:r w:rsidRPr="009251D6">
        <w:t>the band 1 429-1 535 MHz is also allocated to the aeronautical mobile service on a primary basis exclusively for the purposes of aeronautical telemetry within the national territory</w:t>
      </w:r>
      <w:r>
        <w:t xml:space="preserve"> in some CEPT countries</w:t>
      </w:r>
      <w:r w:rsidRPr="009251D6">
        <w:t>.</w:t>
      </w:r>
    </w:p>
    <w:p w:rsidR="00797D4C" w:rsidRDefault="00AA1738" w:rsidP="00AA1738">
      <w:pPr>
        <w:pStyle w:val="ECCParagraph"/>
        <w:rPr>
          <w:rFonts w:cs="Arial"/>
        </w:rPr>
      </w:pPr>
      <w:r>
        <w:rPr>
          <w:rFonts w:cs="Arial"/>
          <w:szCs w:val="20"/>
        </w:rPr>
        <w:t>According to footnote No. 5.345 t</w:t>
      </w:r>
      <w:r>
        <w:rPr>
          <w:rFonts w:cs="Arial"/>
        </w:rPr>
        <w:t xml:space="preserve">he use of the band </w:t>
      </w:r>
      <w:r w:rsidRPr="009251D6">
        <w:rPr>
          <w:rFonts w:cs="Arial"/>
        </w:rPr>
        <w:t xml:space="preserve">1452 - 1492 MHz by </w:t>
      </w:r>
      <w:r>
        <w:rPr>
          <w:rFonts w:cs="Arial"/>
        </w:rPr>
        <w:t xml:space="preserve">both </w:t>
      </w:r>
      <w:r w:rsidRPr="009251D6">
        <w:rPr>
          <w:rFonts w:cs="Arial"/>
        </w:rPr>
        <w:t xml:space="preserve">the broadcasting satellite service and the broadcasting service is limited to digital audio broadcasting. </w:t>
      </w:r>
      <w:r w:rsidRPr="00AF74D1">
        <w:rPr>
          <w:rFonts w:cs="Arial"/>
        </w:rPr>
        <w:t>The band is subject to the provisions of Resolution 528 (WARC-92)</w:t>
      </w:r>
      <w:r w:rsidR="00B055B7">
        <w:rPr>
          <w:rFonts w:cs="Arial"/>
        </w:rPr>
        <w:t xml:space="preserve"> </w:t>
      </w:r>
      <w:r w:rsidR="00B055B7">
        <w:rPr>
          <w:highlight w:val="yellow"/>
        </w:rPr>
        <w:t>[1</w:t>
      </w:r>
      <w:r w:rsidR="00B055B7" w:rsidRPr="000A48B0">
        <w:rPr>
          <w:highlight w:val="yellow"/>
        </w:rPr>
        <w:t>]</w:t>
      </w:r>
      <w:r w:rsidRPr="00AF74D1">
        <w:rPr>
          <w:rFonts w:cs="Arial"/>
        </w:rPr>
        <w:t>.</w:t>
      </w:r>
    </w:p>
    <w:p w:rsidR="00026A63" w:rsidRPr="001807EA" w:rsidRDefault="00026A63" w:rsidP="00026A63">
      <w:pPr>
        <w:pStyle w:val="ECCParagraph"/>
      </w:pPr>
      <w:r w:rsidRPr="003A6753">
        <w:rPr>
          <w:lang w:val="en-US"/>
        </w:rPr>
        <w:t xml:space="preserve">In CEPT, </w:t>
      </w:r>
      <w:r w:rsidRPr="003A6753">
        <w:t xml:space="preserve">the Maastricht, 2002, Special Arrangement, as revised in Constanţa, in 2007 </w:t>
      </w:r>
      <w:r>
        <w:t>(the revised Special Arrangement is hereafter referred to as MA02revCO07)</w:t>
      </w:r>
      <w:r w:rsidRPr="003A6753">
        <w:t xml:space="preserve"> </w:t>
      </w:r>
      <w:r w:rsidR="00B055B7">
        <w:rPr>
          <w:highlight w:val="yellow"/>
        </w:rPr>
        <w:t>[2</w:t>
      </w:r>
      <w:r w:rsidR="00B055B7" w:rsidRPr="000A48B0">
        <w:rPr>
          <w:highlight w:val="yellow"/>
        </w:rPr>
        <w:t>]</w:t>
      </w:r>
      <w:r w:rsidR="00B055B7">
        <w:t xml:space="preserve"> </w:t>
      </w:r>
      <w:r w:rsidRPr="003A6753">
        <w:t xml:space="preserve">provides the technical and regulatory framework </w:t>
      </w:r>
      <w:r>
        <w:t xml:space="preserve">in order to facilitate the introduction of terrestrial </w:t>
      </w:r>
      <w:r w:rsidRPr="003A6753">
        <w:t>mobile multimedia services</w:t>
      </w:r>
      <w:r>
        <w:t xml:space="preserve"> (in addition to T-DAB)</w:t>
      </w:r>
      <w:r w:rsidRPr="003A6753">
        <w:t xml:space="preserve"> in the frequency band 1452 - 1479.5 MHz</w:t>
      </w:r>
      <w:r>
        <w:t xml:space="preserve">, Annex 1 to MA02revCO07 provides the Plan as agreed in 2007. </w:t>
      </w:r>
      <w:r>
        <w:rPr>
          <w:lang w:val="en-US"/>
        </w:rPr>
        <w:t xml:space="preserve">The Plan can be modified in order to include new allotments using the procedures given in the </w:t>
      </w:r>
      <w:r>
        <w:t>MA02revCO07</w:t>
      </w:r>
      <w:r>
        <w:rPr>
          <w:lang w:val="en-US"/>
        </w:rPr>
        <w:t xml:space="preserve">. </w:t>
      </w:r>
      <w:r w:rsidRPr="009A3C95">
        <w:t xml:space="preserve">In particular, </w:t>
      </w:r>
      <w:r w:rsidRPr="00665BA4">
        <w:t>MA02revCO07</w:t>
      </w:r>
      <w:r w:rsidRPr="009A3C95">
        <w:t xml:space="preserve"> allows the implementation</w:t>
      </w:r>
      <w:r>
        <w:t xml:space="preserve"> of mobile multimedia services through the envelop concept and the aggregation of blocks. </w:t>
      </w:r>
      <w:r w:rsidRPr="000A48B0">
        <w:rPr>
          <w:lang w:val="en-US"/>
        </w:rPr>
        <w:t xml:space="preserve">These concepts were described in </w:t>
      </w:r>
      <w:hyperlink r:id="rId12" w:history="1">
        <w:r w:rsidRPr="000A48B0">
          <w:rPr>
            <w:rStyle w:val="Lienhypertexte"/>
            <w:rFonts w:cs="Arial"/>
            <w:lang w:val="en-US"/>
          </w:rPr>
          <w:t>CEPT Report 18</w:t>
        </w:r>
      </w:hyperlink>
      <w:r w:rsidRPr="000A48B0">
        <w:rPr>
          <w:lang w:val="en-US"/>
        </w:rPr>
        <w:t xml:space="preserve"> </w:t>
      </w:r>
      <w:r w:rsidR="00B055B7">
        <w:rPr>
          <w:highlight w:val="yellow"/>
        </w:rPr>
        <w:t>[3</w:t>
      </w:r>
      <w:r w:rsidR="00B055B7" w:rsidRPr="000A48B0">
        <w:rPr>
          <w:highlight w:val="yellow"/>
        </w:rPr>
        <w:t>]</w:t>
      </w:r>
      <w:r w:rsidR="00B055B7">
        <w:t xml:space="preserve"> </w:t>
      </w:r>
      <w:r w:rsidRPr="000A48B0">
        <w:rPr>
          <w:lang w:val="en-US"/>
        </w:rPr>
        <w:t xml:space="preserve">in response to the Mandate on EU harmonisation of the band 1452-1479.5 MHz (lower part of L-band) to allow flexible use by mobile multimedia technologies.  </w:t>
      </w:r>
      <w:r w:rsidRPr="000A48B0">
        <w:t xml:space="preserve">Flexible spectrum usage may be subject to international coordination according to the provisions of </w:t>
      </w:r>
      <w:r>
        <w:t>MA02revCO07</w:t>
      </w:r>
      <w:r w:rsidRPr="000A48B0" w:rsidDel="00745824">
        <w:t xml:space="preserve"> </w:t>
      </w:r>
      <w:r w:rsidR="00B055B7">
        <w:rPr>
          <w:highlight w:val="yellow"/>
        </w:rPr>
        <w:t>[2</w:t>
      </w:r>
      <w:r w:rsidRPr="000A48B0">
        <w:rPr>
          <w:highlight w:val="yellow"/>
        </w:rPr>
        <w:t>]</w:t>
      </w:r>
      <w:r>
        <w:t xml:space="preserve"> (further details are provided in Annex II). </w:t>
      </w:r>
    </w:p>
    <w:p w:rsidR="00026A63" w:rsidRDefault="00026A63" w:rsidP="00026A63">
      <w:pPr>
        <w:pStyle w:val="ECCParagraph"/>
        <w:rPr>
          <w:lang w:val="en-US"/>
        </w:rPr>
      </w:pPr>
      <w:r w:rsidRPr="00132FDE">
        <w:t>The ECC Decision ECC/DEC/(03)02 designates the frequency band 1479.5 - 1492 MHz for use by satellite DAB systems. This Decision shall be reviewed inter alia on the basis of market demand at least ever</w:t>
      </w:r>
      <w:r>
        <w:t xml:space="preserve">y 10 years according to Decides </w:t>
      </w:r>
      <w:r w:rsidRPr="00132FDE">
        <w:t>2 of ECC Decision (03)02</w:t>
      </w:r>
      <w:r w:rsidR="00B055B7">
        <w:t xml:space="preserve"> </w:t>
      </w:r>
      <w:r w:rsidR="00B055B7">
        <w:rPr>
          <w:highlight w:val="yellow"/>
        </w:rPr>
        <w:t>[4</w:t>
      </w:r>
      <w:r w:rsidR="00B055B7" w:rsidRPr="000A48B0">
        <w:rPr>
          <w:highlight w:val="yellow"/>
        </w:rPr>
        <w:t>]</w:t>
      </w:r>
      <w:r w:rsidRPr="00132FDE">
        <w:t>.</w:t>
      </w:r>
      <w:r>
        <w:t xml:space="preserve"> However, </w:t>
      </w:r>
      <w:r>
        <w:rPr>
          <w:lang w:val="en-US"/>
        </w:rPr>
        <w:t xml:space="preserve">according to the ECC Rules of Procedure (art. </w:t>
      </w:r>
      <w:r w:rsidRPr="000A48B0">
        <w:rPr>
          <w:highlight w:val="yellow"/>
          <w:lang w:val="en-US"/>
        </w:rPr>
        <w:t>12.4.1</w:t>
      </w:r>
      <w:r>
        <w:rPr>
          <w:lang w:val="en-US"/>
        </w:rPr>
        <w:t>), each Decision shall be reviewed on a regular basis, but not later than every five years.</w:t>
      </w:r>
    </w:p>
    <w:p w:rsidR="00026A63" w:rsidRDefault="00026A63" w:rsidP="00E41E35">
      <w:pPr>
        <w:pStyle w:val="Titre2"/>
      </w:pPr>
      <w:bookmarkStart w:id="6" w:name="_Toc322126790"/>
      <w:r>
        <w:t>Description</w:t>
      </w:r>
      <w:r w:rsidRPr="00EC38BB">
        <w:t xml:space="preserve"> of the current use within CEPT</w:t>
      </w:r>
      <w:bookmarkEnd w:id="6"/>
    </w:p>
    <w:p w:rsidR="00026A63" w:rsidRDefault="00026A63" w:rsidP="00026A63">
      <w:pPr>
        <w:pStyle w:val="ECCParagraph"/>
      </w:pPr>
      <w:r>
        <w:t>1.2.1 and 1.2.2 provides general information about the use of the band 1452-1492 MHz in CEPT. Annex III provides additional details about the use of the band 1452-1492 MHz in some CEPT countries.</w:t>
      </w:r>
    </w:p>
    <w:p w:rsidR="00026A63" w:rsidRDefault="00026A63" w:rsidP="006D1BB1">
      <w:pPr>
        <w:pStyle w:val="Titre3"/>
      </w:pPr>
      <w:bookmarkStart w:id="7" w:name="_Toc322126791"/>
      <w:r>
        <w:t>Broadcasting T-DAB and S-DAB</w:t>
      </w:r>
      <w:bookmarkEnd w:id="7"/>
    </w:p>
    <w:p w:rsidR="00026A63" w:rsidRDefault="00026A63" w:rsidP="007C3130">
      <w:pPr>
        <w:pStyle w:val="ECCParagraph"/>
      </w:pPr>
      <w:r>
        <w:t>In most CEPT countries, t</w:t>
      </w:r>
      <w:r w:rsidRPr="00EC38BB">
        <w:t xml:space="preserve">he </w:t>
      </w:r>
      <w:r>
        <w:t xml:space="preserve">1452-1492 MHz </w:t>
      </w:r>
      <w:r w:rsidRPr="00EC38BB">
        <w:t xml:space="preserve">band is currently </w:t>
      </w:r>
      <w:r>
        <w:t>identified</w:t>
      </w:r>
      <w:r w:rsidRPr="00EC38BB">
        <w:t xml:space="preserve"> for </w:t>
      </w:r>
      <w:r>
        <w:t xml:space="preserve">the </w:t>
      </w:r>
      <w:r w:rsidRPr="00EC38BB">
        <w:t xml:space="preserve">use by </w:t>
      </w:r>
      <w:r>
        <w:t xml:space="preserve">terrestrial and satellite digital audio broadcasting (T-DAB and S-DAB) applications. </w:t>
      </w:r>
    </w:p>
    <w:p w:rsidR="00026A63" w:rsidRDefault="00026A63" w:rsidP="007C3130">
      <w:pPr>
        <w:pStyle w:val="ECCParagraph"/>
      </w:pPr>
      <w:r>
        <w:t xml:space="preserve">Relating </w:t>
      </w:r>
      <w:r w:rsidRPr="001807EA">
        <w:t>to T-DAB, most CEPT countries have one to three nation-wide T-DAB allotment coverages in the Plan with a bandwidth of 1.7 MHz (only a few countries currently possess in total three layers of Plan entries).</w:t>
      </w:r>
    </w:p>
    <w:p w:rsidR="00026A63" w:rsidRPr="006115D2" w:rsidRDefault="00026A63" w:rsidP="00026A63">
      <w:pPr>
        <w:pStyle w:val="ECCParagraph"/>
      </w:pPr>
      <w:r w:rsidRPr="00642F80">
        <w:t xml:space="preserve">Relating to S-DAB, </w:t>
      </w:r>
      <w:r>
        <w:t xml:space="preserve">a review undertaken in July 2011 of the ITU-R database of satellite filings covering Europe  showed that 7 CEPT administrations have 53 active requests for coordination which include the band 1479.5-1492 MHz over the arc </w:t>
      </w:r>
      <w:r>
        <w:rPr>
          <w:lang w:val="en-US" w:eastAsia="fr-FR"/>
        </w:rPr>
        <w:t>15°W to 55°E</w:t>
      </w:r>
      <w:r>
        <w:t xml:space="preserve">. Three of these have been notified. To date, none has been brought into use and resulted in the submission of Resolution 49 information.  </w:t>
      </w:r>
    </w:p>
    <w:p w:rsidR="00026A63" w:rsidRDefault="00026A63" w:rsidP="00026A63">
      <w:pPr>
        <w:pStyle w:val="ECCParagraph"/>
        <w:rPr>
          <w:sz w:val="24"/>
        </w:rPr>
      </w:pPr>
      <w:r w:rsidRPr="00EC38BB">
        <w:lastRenderedPageBreak/>
        <w:t>None of the</w:t>
      </w:r>
      <w:r>
        <w:t xml:space="preserve"> T-DAB and S-DAB usages</w:t>
      </w:r>
      <w:r w:rsidRPr="00EC38BB">
        <w:t xml:space="preserve"> have </w:t>
      </w:r>
      <w:r>
        <w:t>actually grown</w:t>
      </w:r>
      <w:r w:rsidRPr="00EC38BB">
        <w:t xml:space="preserve"> in the band</w:t>
      </w:r>
      <w:r>
        <w:t xml:space="preserve"> to date as it has been shown by the Radio Spectrum Policy Group survey and Report on the future of digital audio broadcasting</w:t>
      </w:r>
      <w:r w:rsidRPr="00EC38BB">
        <w:rPr>
          <w:rStyle w:val="Appelnotedebasdep"/>
          <w:rFonts w:cs="Arial"/>
        </w:rPr>
        <w:footnoteReference w:id="1"/>
      </w:r>
      <w:r w:rsidRPr="00EC38BB">
        <w:t>.</w:t>
      </w:r>
    </w:p>
    <w:p w:rsidR="00026A63" w:rsidRDefault="00026A63" w:rsidP="006D1BB1">
      <w:pPr>
        <w:pStyle w:val="Titre3"/>
      </w:pPr>
      <w:bookmarkStart w:id="8" w:name="_Toc322126792"/>
      <w:r>
        <w:t>Other uses</w:t>
      </w:r>
      <w:bookmarkEnd w:id="8"/>
    </w:p>
    <w:p w:rsidR="00026A63" w:rsidRDefault="00026A63" w:rsidP="00026A63">
      <w:pPr>
        <w:pStyle w:val="ECCParagraph"/>
        <w:rPr>
          <w:rFonts w:cs="Arial"/>
        </w:rPr>
      </w:pPr>
      <w:r>
        <w:rPr>
          <w:rFonts w:cs="Arial"/>
        </w:rPr>
        <w:t>There</w:t>
      </w:r>
      <w:r w:rsidRPr="00EC38BB">
        <w:rPr>
          <w:rFonts w:cs="Arial"/>
        </w:rPr>
        <w:t xml:space="preserve"> are some </w:t>
      </w:r>
      <w:r>
        <w:rPr>
          <w:rFonts w:cs="Arial"/>
        </w:rPr>
        <w:t>other</w:t>
      </w:r>
      <w:r w:rsidRPr="00EC38BB">
        <w:rPr>
          <w:rFonts w:cs="Arial"/>
        </w:rPr>
        <w:t xml:space="preserve"> systems in operation in few countries. In nine countries, the band is currently used by applications opera</w:t>
      </w:r>
      <w:r>
        <w:rPr>
          <w:rFonts w:cs="Arial"/>
        </w:rPr>
        <w:t>ted in services different from audio</w:t>
      </w:r>
      <w:r w:rsidRPr="00EC38BB">
        <w:rPr>
          <w:rFonts w:cs="Arial"/>
        </w:rPr>
        <w:t xml:space="preserve"> broadcasting: Fixed Service (6</w:t>
      </w:r>
      <w:r>
        <w:rPr>
          <w:rFonts w:cs="Arial"/>
        </w:rPr>
        <w:t xml:space="preserve"> countries</w:t>
      </w:r>
      <w:r w:rsidRPr="00EC38BB">
        <w:rPr>
          <w:rFonts w:cs="Arial"/>
        </w:rPr>
        <w:t>), Mobile Service (3</w:t>
      </w:r>
      <w:r w:rsidRPr="004B0309">
        <w:rPr>
          <w:rFonts w:cs="Arial"/>
        </w:rPr>
        <w:t xml:space="preserve"> </w:t>
      </w:r>
      <w:r>
        <w:rPr>
          <w:rFonts w:cs="Arial"/>
        </w:rPr>
        <w:t>countries</w:t>
      </w:r>
      <w:r w:rsidRPr="00EC38BB">
        <w:rPr>
          <w:rFonts w:cs="Arial"/>
        </w:rPr>
        <w:t>), Ground and Wall probing Radar (1</w:t>
      </w:r>
      <w:r w:rsidRPr="004B0309">
        <w:rPr>
          <w:rFonts w:cs="Arial"/>
        </w:rPr>
        <w:t xml:space="preserve"> </w:t>
      </w:r>
      <w:r>
        <w:rPr>
          <w:rFonts w:cs="Arial"/>
        </w:rPr>
        <w:t>country</w:t>
      </w:r>
      <w:r w:rsidRPr="00EC38BB">
        <w:rPr>
          <w:rFonts w:cs="Arial"/>
        </w:rPr>
        <w:t>), Radio Astronomy (1</w:t>
      </w:r>
      <w:r w:rsidRPr="004B0309">
        <w:rPr>
          <w:rFonts w:cs="Arial"/>
        </w:rPr>
        <w:t xml:space="preserve"> </w:t>
      </w:r>
      <w:r>
        <w:rPr>
          <w:rFonts w:cs="Arial"/>
        </w:rPr>
        <w:t>country</w:t>
      </w:r>
      <w:r w:rsidRPr="00EC38BB">
        <w:rPr>
          <w:rFonts w:cs="Arial"/>
        </w:rPr>
        <w:t>), Aeronautical Mobile Service (aeronautical telemetry) (1</w:t>
      </w:r>
      <w:r w:rsidRPr="004B0309">
        <w:rPr>
          <w:rFonts w:cs="Arial"/>
        </w:rPr>
        <w:t xml:space="preserve"> </w:t>
      </w:r>
      <w:r>
        <w:rPr>
          <w:rFonts w:cs="Arial"/>
        </w:rPr>
        <w:t>country</w:t>
      </w:r>
      <w:r w:rsidRPr="00EC38BB">
        <w:rPr>
          <w:rFonts w:cs="Arial"/>
        </w:rPr>
        <w:t xml:space="preserve">). These uses are generally limited to </w:t>
      </w:r>
      <w:r>
        <w:rPr>
          <w:rFonts w:cs="Arial"/>
        </w:rPr>
        <w:t>sub-parts only</w:t>
      </w:r>
      <w:r w:rsidRPr="00EC38BB">
        <w:rPr>
          <w:rFonts w:cs="Arial"/>
        </w:rPr>
        <w:t xml:space="preserve"> of the 1452-1492 MHz band.</w:t>
      </w:r>
      <w:r>
        <w:rPr>
          <w:rFonts w:cs="Arial"/>
        </w:rPr>
        <w:t xml:space="preserve"> </w:t>
      </w:r>
      <w:r w:rsidRPr="00EC38BB">
        <w:rPr>
          <w:rFonts w:cs="Arial"/>
        </w:rPr>
        <w:t>Some of t</w:t>
      </w:r>
      <w:r>
        <w:rPr>
          <w:rFonts w:cs="Arial"/>
        </w:rPr>
        <w:t xml:space="preserve">he </w:t>
      </w:r>
      <w:r w:rsidRPr="00EC38BB">
        <w:rPr>
          <w:rFonts w:cs="Arial"/>
        </w:rPr>
        <w:t xml:space="preserve">countries indicated in their </w:t>
      </w:r>
      <w:r>
        <w:rPr>
          <w:rFonts w:cs="Arial"/>
        </w:rPr>
        <w:t>response to the ECC survey</w:t>
      </w:r>
      <w:r>
        <w:rPr>
          <w:rStyle w:val="Appelnotedebasdep"/>
          <w:rFonts w:cs="Arial"/>
        </w:rPr>
        <w:footnoteReference w:id="2"/>
      </w:r>
      <w:r>
        <w:rPr>
          <w:rFonts w:cs="Arial"/>
        </w:rPr>
        <w:t xml:space="preserve"> carried out in December 2010 – January 2011 on the future use of the 1452-1492 MHz band</w:t>
      </w:r>
      <w:r w:rsidRPr="00EC38BB">
        <w:rPr>
          <w:rFonts w:cs="Arial"/>
        </w:rPr>
        <w:t xml:space="preserve"> that </w:t>
      </w:r>
      <w:r>
        <w:rPr>
          <w:rFonts w:cs="Arial"/>
        </w:rPr>
        <w:t>those</w:t>
      </w:r>
      <w:r w:rsidRPr="00EC38BB">
        <w:rPr>
          <w:rFonts w:cs="Arial"/>
        </w:rPr>
        <w:t xml:space="preserve"> mentioned different uses will continue until an already fixed date (1</w:t>
      </w:r>
      <w:r w:rsidRPr="004B0309">
        <w:rPr>
          <w:rFonts w:cs="Arial"/>
        </w:rPr>
        <w:t xml:space="preserve"> </w:t>
      </w:r>
      <w:r>
        <w:rPr>
          <w:rFonts w:cs="Arial"/>
        </w:rPr>
        <w:t>country</w:t>
      </w:r>
      <w:r w:rsidRPr="00EC38BB">
        <w:rPr>
          <w:rFonts w:cs="Arial"/>
        </w:rPr>
        <w:t>) or once digital radio will be implemented (2</w:t>
      </w:r>
      <w:r w:rsidRPr="004B0309">
        <w:rPr>
          <w:rFonts w:cs="Arial"/>
        </w:rPr>
        <w:t xml:space="preserve"> </w:t>
      </w:r>
      <w:r>
        <w:rPr>
          <w:rFonts w:cs="Arial"/>
        </w:rPr>
        <w:t>countries</w:t>
      </w:r>
      <w:r w:rsidRPr="00EC38BB">
        <w:rPr>
          <w:rFonts w:cs="Arial"/>
        </w:rPr>
        <w:t>) or until the band is used by multimedia services (1</w:t>
      </w:r>
      <w:r w:rsidRPr="004B0309">
        <w:rPr>
          <w:rFonts w:cs="Arial"/>
        </w:rPr>
        <w:t xml:space="preserve"> </w:t>
      </w:r>
      <w:r w:rsidRPr="006617B8">
        <w:rPr>
          <w:rFonts w:cs="Arial"/>
        </w:rPr>
        <w:t xml:space="preserve">country). </w:t>
      </w:r>
      <w:r>
        <w:rPr>
          <w:rFonts w:cs="Arial"/>
        </w:rPr>
        <w:t>O</w:t>
      </w:r>
      <w:r w:rsidRPr="006617B8">
        <w:rPr>
          <w:rFonts w:cs="Arial"/>
        </w:rPr>
        <w:t>ne</w:t>
      </w:r>
      <w:r>
        <w:rPr>
          <w:rFonts w:cs="Arial"/>
        </w:rPr>
        <w:t xml:space="preserve"> other</w:t>
      </w:r>
      <w:r w:rsidRPr="006617B8">
        <w:rPr>
          <w:rFonts w:cs="Arial"/>
        </w:rPr>
        <w:t xml:space="preserve"> country indicated t</w:t>
      </w:r>
      <w:r>
        <w:rPr>
          <w:rFonts w:cs="Arial"/>
        </w:rPr>
        <w:t>h</w:t>
      </w:r>
      <w:r w:rsidRPr="006617B8">
        <w:rPr>
          <w:rFonts w:cs="Arial"/>
        </w:rPr>
        <w:t xml:space="preserve">at </w:t>
      </w:r>
      <w:r>
        <w:rPr>
          <w:rFonts w:cs="Arial"/>
        </w:rPr>
        <w:t xml:space="preserve">it had licensed </w:t>
      </w:r>
      <w:r w:rsidRPr="006617B8">
        <w:rPr>
          <w:rFonts w:cs="Arial"/>
        </w:rPr>
        <w:t>the whole 1452-1492 MHz band for terrestrial</w:t>
      </w:r>
      <w:r>
        <w:rPr>
          <w:rFonts w:cs="Arial"/>
        </w:rPr>
        <w:t xml:space="preserve"> applications </w:t>
      </w:r>
      <w:r w:rsidRPr="00C513EC">
        <w:rPr>
          <w:rFonts w:cs="Arial"/>
        </w:rPr>
        <w:t>under technology neutral technical conditions of usage</w:t>
      </w:r>
      <w:r>
        <w:rPr>
          <w:rFonts w:cs="Arial"/>
        </w:rPr>
        <w:t xml:space="preserve"> (see Annex III).</w:t>
      </w:r>
    </w:p>
    <w:p w:rsidR="00026A63" w:rsidRDefault="00026A63" w:rsidP="00E41E35">
      <w:pPr>
        <w:pStyle w:val="Titre2"/>
      </w:pPr>
      <w:bookmarkStart w:id="9" w:name="_Toc322126793"/>
      <w:r w:rsidRPr="00EC38BB">
        <w:t>Current regulation</w:t>
      </w:r>
      <w:r>
        <w:t>s</w:t>
      </w:r>
      <w:r w:rsidRPr="00EC38BB">
        <w:t xml:space="preserve"> and use outside CEPT</w:t>
      </w:r>
      <w:bookmarkEnd w:id="9"/>
    </w:p>
    <w:p w:rsidR="00026A63" w:rsidRDefault="00026A63" w:rsidP="00026A63">
      <w:pPr>
        <w:pStyle w:val="ECCParagraph"/>
      </w:pPr>
      <w:r>
        <w:t xml:space="preserve">Many countries are aligned with CEPT by allocating the </w:t>
      </w:r>
      <w:r>
        <w:rPr>
          <w:szCs w:val="20"/>
        </w:rPr>
        <w:t xml:space="preserve">1452-1492 MHz </w:t>
      </w:r>
      <w:r>
        <w:t>band</w:t>
      </w:r>
      <w:r w:rsidRPr="00EC38BB">
        <w:t xml:space="preserve"> to </w:t>
      </w:r>
      <w:r>
        <w:t>DAB</w:t>
      </w:r>
      <w:r w:rsidRPr="00EC38BB">
        <w:t xml:space="preserve"> </w:t>
      </w:r>
      <w:r>
        <w:t xml:space="preserve">services. There are currently limited operational terrestrial DAB services. There are 2 satellites in operation on the </w:t>
      </w:r>
      <w:r>
        <w:rPr>
          <w:szCs w:val="20"/>
        </w:rPr>
        <w:t xml:space="preserve">1452-1492 MHz </w:t>
      </w:r>
      <w:r>
        <w:t xml:space="preserve">band. </w:t>
      </w:r>
    </w:p>
    <w:p w:rsidR="00026A63" w:rsidRDefault="00026A63" w:rsidP="00026A63">
      <w:pPr>
        <w:pStyle w:val="ECCParagraph"/>
        <w:rPr>
          <w:rStyle w:val="Artdef"/>
          <w:b w:val="0"/>
          <w:bCs w:val="0"/>
        </w:rPr>
      </w:pPr>
      <w:r w:rsidRPr="00026A63">
        <w:rPr>
          <w:rStyle w:val="Artdef"/>
          <w:b w:val="0"/>
          <w:bCs w:val="0"/>
        </w:rPr>
        <w:t>Annex IV provides an overview of the use/regulations of the band 1452 – 1492 MHz in a number of countries outside from CEPT</w:t>
      </w:r>
      <w:r w:rsidR="00B055B7">
        <w:rPr>
          <w:rStyle w:val="Artdef"/>
          <w:b w:val="0"/>
          <w:bCs w:val="0"/>
        </w:rPr>
        <w:t>.</w:t>
      </w:r>
    </w:p>
    <w:p w:rsidR="00B055B7" w:rsidRDefault="00B055B7" w:rsidP="00B055B7">
      <w:pPr>
        <w:pStyle w:val="Titre1"/>
      </w:pPr>
      <w:bookmarkStart w:id="10" w:name="_Toc322126794"/>
      <w:r>
        <w:rPr>
          <w:b w:val="0"/>
          <w:bCs w:val="0"/>
        </w:rPr>
        <w:lastRenderedPageBreak/>
        <w:t>Criteria of Impact assessment</w:t>
      </w:r>
      <w:bookmarkEnd w:id="10"/>
    </w:p>
    <w:p w:rsidR="00B055B7" w:rsidRDefault="00B055B7" w:rsidP="000F6780">
      <w:pPr>
        <w:pStyle w:val="ECCParBulleted"/>
        <w:numPr>
          <w:ilvl w:val="0"/>
          <w:numId w:val="18"/>
        </w:numPr>
      </w:pPr>
      <w:r>
        <w:t xml:space="preserve">- Compatibility with the current regulatory framework, </w:t>
      </w:r>
    </w:p>
    <w:p w:rsidR="00B055B7" w:rsidRDefault="00B055B7" w:rsidP="000F6780">
      <w:pPr>
        <w:pStyle w:val="ECCParBulleted"/>
        <w:numPr>
          <w:ilvl w:val="0"/>
          <w:numId w:val="18"/>
        </w:numPr>
      </w:pPr>
      <w:r>
        <w:t xml:space="preserve">- Possibility to combine/share with other applications/uses, </w:t>
      </w:r>
    </w:p>
    <w:p w:rsidR="00B055B7" w:rsidRDefault="00B055B7" w:rsidP="000F6780">
      <w:pPr>
        <w:pStyle w:val="ECCParBulleted"/>
        <w:numPr>
          <w:ilvl w:val="0"/>
          <w:numId w:val="18"/>
        </w:numPr>
      </w:pPr>
      <w:r>
        <w:t>- Extent (maximisation) of social and economic benefits,</w:t>
      </w:r>
    </w:p>
    <w:p w:rsidR="00B055B7" w:rsidRDefault="00B055B7" w:rsidP="000F6780">
      <w:pPr>
        <w:pStyle w:val="ECCParBulleted"/>
        <w:numPr>
          <w:ilvl w:val="0"/>
          <w:numId w:val="18"/>
        </w:numPr>
      </w:pPr>
      <w:r>
        <w:t xml:space="preserve">- Timeframe for availability of equipment on a large scale and for application deployment - status of standardisation </w:t>
      </w:r>
    </w:p>
    <w:p w:rsidR="00B055B7" w:rsidRDefault="00B055B7" w:rsidP="000F6780">
      <w:pPr>
        <w:pStyle w:val="ECCParBulleted"/>
        <w:numPr>
          <w:ilvl w:val="0"/>
          <w:numId w:val="18"/>
        </w:numPr>
      </w:pPr>
      <w:r>
        <w:t>- Potential for economy of scale (need and potential for harmonisation within and outside CEPT)</w:t>
      </w:r>
    </w:p>
    <w:p w:rsidR="00B055B7" w:rsidRDefault="00B055B7" w:rsidP="00B055B7">
      <w:pPr>
        <w:ind w:left="360"/>
        <w:rPr>
          <w:lang w:val="en-GB"/>
        </w:rPr>
      </w:pPr>
    </w:p>
    <w:p w:rsidR="00B055B7" w:rsidRDefault="00B055B7" w:rsidP="00B055B7">
      <w:pPr>
        <w:pStyle w:val="ECCParagraph"/>
      </w:pPr>
      <w:r>
        <w:t>Reference documents (ECC Report 125 and Management of Impact Assessment</w:t>
      </w:r>
      <w:r w:rsidR="00CF580E">
        <w:t xml:space="preserve"> </w:t>
      </w:r>
      <w:r w:rsidR="00CF580E">
        <w:rPr>
          <w:highlight w:val="yellow"/>
        </w:rPr>
        <w:t>[4</w:t>
      </w:r>
      <w:r w:rsidR="00CF580E" w:rsidRPr="000A48B0">
        <w:rPr>
          <w:highlight w:val="yellow"/>
        </w:rPr>
        <w:t>]</w:t>
      </w:r>
      <w:r>
        <w:t>)</w:t>
      </w:r>
      <w:r w:rsidR="00CF580E">
        <w:t xml:space="preserve"> </w:t>
      </w:r>
    </w:p>
    <w:p w:rsidR="00B055B7" w:rsidRDefault="00B055B7" w:rsidP="00E41E35">
      <w:pPr>
        <w:pStyle w:val="Titre2"/>
      </w:pPr>
      <w:bookmarkStart w:id="11" w:name="_Toc322126795"/>
      <w:r>
        <w:t>CRITERIA 1: Compatibility with the current regulatory framework</w:t>
      </w:r>
      <w:bookmarkEnd w:id="11"/>
    </w:p>
    <w:p w:rsidR="00B055B7" w:rsidRDefault="00B055B7" w:rsidP="00B055B7">
      <w:pPr>
        <w:pStyle w:val="ECCParagraph"/>
      </w:pPr>
      <w:r>
        <w:t>To evaluate if the application(s) under study is(are) compatible:</w:t>
      </w:r>
    </w:p>
    <w:p w:rsidR="00B055B7" w:rsidRDefault="00CF580E" w:rsidP="000F6780">
      <w:pPr>
        <w:pStyle w:val="ECCParBulleted"/>
        <w:numPr>
          <w:ilvl w:val="0"/>
          <w:numId w:val="18"/>
        </w:numPr>
      </w:pPr>
      <w:r>
        <w:t xml:space="preserve">with the Radio Regulations </w:t>
      </w:r>
      <w:r>
        <w:rPr>
          <w:highlight w:val="yellow"/>
        </w:rPr>
        <w:t>[1</w:t>
      </w:r>
      <w:r w:rsidRPr="000A48B0">
        <w:rPr>
          <w:highlight w:val="yellow"/>
        </w:rPr>
        <w:t>]</w:t>
      </w:r>
      <w:r w:rsidRPr="00132FDE">
        <w:t>.</w:t>
      </w:r>
    </w:p>
    <w:p w:rsidR="00B055B7" w:rsidRDefault="00B055B7" w:rsidP="000F6780">
      <w:pPr>
        <w:pStyle w:val="ECCParBulleted"/>
        <w:numPr>
          <w:ilvl w:val="0"/>
          <w:numId w:val="18"/>
        </w:numPr>
      </w:pPr>
      <w:r>
        <w:t xml:space="preserve">with </w:t>
      </w:r>
      <w:r w:rsidR="00CF580E">
        <w:t>MA02CO07 within 1452-1479.5 MHz</w:t>
      </w:r>
      <w:r w:rsidR="00CF580E" w:rsidRPr="00CF580E">
        <w:rPr>
          <w:highlight w:val="yellow"/>
        </w:rPr>
        <w:t xml:space="preserve"> </w:t>
      </w:r>
      <w:r w:rsidR="00CF580E">
        <w:rPr>
          <w:highlight w:val="yellow"/>
        </w:rPr>
        <w:t>[2</w:t>
      </w:r>
      <w:r w:rsidR="00CF580E" w:rsidRPr="000A48B0">
        <w:rPr>
          <w:highlight w:val="yellow"/>
        </w:rPr>
        <w:t>]</w:t>
      </w:r>
      <w:r w:rsidR="00CF580E" w:rsidRPr="00132FDE">
        <w:t>.</w:t>
      </w:r>
    </w:p>
    <w:p w:rsidR="00B055B7" w:rsidRDefault="00B055B7" w:rsidP="000F6780">
      <w:pPr>
        <w:pStyle w:val="ECCParBulleted"/>
        <w:numPr>
          <w:ilvl w:val="0"/>
          <w:numId w:val="18"/>
        </w:numPr>
      </w:pPr>
      <w:r>
        <w:t>with ECC DEC(03)02 within 1479.5-149</w:t>
      </w:r>
      <w:r w:rsidR="00CF580E">
        <w:t xml:space="preserve">2 MHz </w:t>
      </w:r>
      <w:r w:rsidR="00CF580E">
        <w:rPr>
          <w:highlight w:val="yellow"/>
        </w:rPr>
        <w:t>[4</w:t>
      </w:r>
      <w:r w:rsidR="00CF580E" w:rsidRPr="000A48B0">
        <w:rPr>
          <w:highlight w:val="yellow"/>
        </w:rPr>
        <w:t>]</w:t>
      </w:r>
      <w:r w:rsidR="00CF580E" w:rsidRPr="00132FDE">
        <w:t>.</w:t>
      </w:r>
    </w:p>
    <w:p w:rsidR="00B055B7" w:rsidRDefault="00B055B7" w:rsidP="00E41E35">
      <w:pPr>
        <w:pStyle w:val="Titre2"/>
      </w:pPr>
      <w:bookmarkStart w:id="12" w:name="_Toc322126796"/>
      <w:r>
        <w:t>CRITERIA 2: Possibility to share with other applications/uses</w:t>
      </w:r>
      <w:bookmarkEnd w:id="12"/>
    </w:p>
    <w:p w:rsidR="00B055B7" w:rsidRDefault="00B055B7" w:rsidP="00B055B7">
      <w:pPr>
        <w:pStyle w:val="ECCParagraph"/>
      </w:pPr>
      <w:r>
        <w:t>For each application it should be evaluated whether sharing with other applications is possible, based on the requirements, including spectrum requirements, of the relevant applications. If sharing is possible, the type of sharing should be indicated.</w:t>
      </w:r>
    </w:p>
    <w:p w:rsidR="00B055B7" w:rsidRDefault="00B055B7" w:rsidP="00B055B7">
      <w:pPr>
        <w:pStyle w:val="ECCParagraph"/>
        <w:rPr>
          <w:rFonts w:cs="Arial"/>
        </w:rPr>
      </w:pPr>
      <w:r>
        <w:t xml:space="preserve">There are different ways for applications to share spectrum. ITU-R </w:t>
      </w:r>
      <w:r>
        <w:rPr>
          <w:rFonts w:cs="Arial"/>
        </w:rPr>
        <w:t>SM.1132-2 gives guidelines on the different possible dimensions of sharing:</w:t>
      </w:r>
    </w:p>
    <w:p w:rsidR="00B055B7" w:rsidRDefault="00B055B7" w:rsidP="000F6780">
      <w:pPr>
        <w:pStyle w:val="ECCParBulleted"/>
        <w:numPr>
          <w:ilvl w:val="0"/>
          <w:numId w:val="18"/>
        </w:numPr>
      </w:pPr>
      <w:r>
        <w:t>Frequency separation</w:t>
      </w:r>
    </w:p>
    <w:p w:rsidR="00B055B7" w:rsidRDefault="00B055B7" w:rsidP="000F6780">
      <w:pPr>
        <w:pStyle w:val="ECCParBulleted"/>
        <w:numPr>
          <w:ilvl w:val="0"/>
          <w:numId w:val="18"/>
        </w:numPr>
      </w:pPr>
      <w:r>
        <w:t>Spatial separation</w:t>
      </w:r>
    </w:p>
    <w:p w:rsidR="00B055B7" w:rsidRDefault="00B055B7" w:rsidP="000F6780">
      <w:pPr>
        <w:pStyle w:val="ECCParBulleted"/>
        <w:numPr>
          <w:ilvl w:val="0"/>
          <w:numId w:val="18"/>
        </w:numPr>
      </w:pPr>
      <w:r>
        <w:t>Time separation</w:t>
      </w:r>
    </w:p>
    <w:p w:rsidR="00B055B7" w:rsidRDefault="00B055B7" w:rsidP="000F6780">
      <w:pPr>
        <w:pStyle w:val="ECCParBulleted"/>
        <w:numPr>
          <w:ilvl w:val="0"/>
          <w:numId w:val="18"/>
        </w:numPr>
      </w:pPr>
      <w:r>
        <w:t>Signal separation</w:t>
      </w:r>
    </w:p>
    <w:p w:rsidR="00B055B7" w:rsidRDefault="00B055B7" w:rsidP="00B055B7">
      <w:pPr>
        <w:pStyle w:val="ECCParagraph"/>
      </w:pPr>
    </w:p>
    <w:p w:rsidR="00B055B7" w:rsidRDefault="00B055B7" w:rsidP="00B055B7">
      <w:pPr>
        <w:pStyle w:val="ECCParagraph"/>
      </w:pPr>
      <w:r>
        <w:t>The ITU-R recommendation gives an extensive (non-exhaustive) list of detailed sharing possibilities, including channeling plans, band segmentation and geographical separation.</w:t>
      </w:r>
    </w:p>
    <w:p w:rsidR="00B055B7" w:rsidRDefault="00B055B7" w:rsidP="00E41E35">
      <w:pPr>
        <w:pStyle w:val="Titre2"/>
        <w:rPr>
          <w:lang w:val="en-GB"/>
        </w:rPr>
      </w:pPr>
      <w:bookmarkStart w:id="13" w:name="_Toc322126797"/>
      <w:r>
        <w:t xml:space="preserve">CRITERIA 3: </w:t>
      </w:r>
      <w:r>
        <w:rPr>
          <w:lang w:val="en-GB"/>
        </w:rPr>
        <w:t>Extent (maximisation) of social and economic benefits</w:t>
      </w:r>
      <w:bookmarkEnd w:id="13"/>
    </w:p>
    <w:p w:rsidR="00B055B7" w:rsidRDefault="00B055B7" w:rsidP="00B055B7">
      <w:pPr>
        <w:pStyle w:val="ECCParagraph"/>
      </w:pPr>
      <w:r>
        <w:t>The expected social (including public policy objectives) and economic benefits should be evaluated. This should be based on quantitative data where relevant. where quantitative data is not available a qualitative analysis of expected benefits and costs can be provided.</w:t>
      </w:r>
    </w:p>
    <w:p w:rsidR="00B055B7" w:rsidRDefault="00B055B7" w:rsidP="00E41E35">
      <w:pPr>
        <w:pStyle w:val="Titre2"/>
        <w:rPr>
          <w:lang w:val="en-GB"/>
        </w:rPr>
      </w:pPr>
      <w:bookmarkStart w:id="14" w:name="_Toc322126798"/>
      <w:r>
        <w:t xml:space="preserve">CRITERIA 4: </w:t>
      </w:r>
      <w:r>
        <w:rPr>
          <w:lang w:val="en-GB"/>
        </w:rPr>
        <w:t>Timeframe for availability of equipment on a large scale and for application deployment - status of standardisation</w:t>
      </w:r>
      <w:bookmarkEnd w:id="14"/>
    </w:p>
    <w:p w:rsidR="00B055B7" w:rsidRDefault="00B055B7" w:rsidP="00B055B7">
      <w:pPr>
        <w:pStyle w:val="ECCParagraph"/>
      </w:pPr>
      <w:r>
        <w:t xml:space="preserve">The timeframe of the availability of equipment on a large scale should be assessed. The status of standardisation, either existing, in preparation or planned should be assessed. </w:t>
      </w:r>
    </w:p>
    <w:p w:rsidR="00B055B7" w:rsidRDefault="00B055B7" w:rsidP="00B055B7">
      <w:pPr>
        <w:pStyle w:val="ECCParagraph"/>
      </w:pPr>
      <w:r>
        <w:t>The timeline for application deployment and use should be assessed.</w:t>
      </w:r>
    </w:p>
    <w:p w:rsidR="00B055B7" w:rsidRDefault="00B055B7" w:rsidP="00E41E35">
      <w:pPr>
        <w:pStyle w:val="Titre2"/>
        <w:rPr>
          <w:lang w:val="en-GB"/>
        </w:rPr>
      </w:pPr>
      <w:bookmarkStart w:id="15" w:name="_Toc322126799"/>
      <w:r>
        <w:lastRenderedPageBreak/>
        <w:t xml:space="preserve">CRITERIA 5: </w:t>
      </w:r>
      <w:r>
        <w:rPr>
          <w:lang w:val="en-GB"/>
        </w:rPr>
        <w:t>Potential for economy of scale (need and potential for harmonisation within and outside CEPT)</w:t>
      </w:r>
      <w:bookmarkEnd w:id="15"/>
    </w:p>
    <w:p w:rsidR="00B055B7" w:rsidRDefault="00B055B7" w:rsidP="00B055B7">
      <w:pPr>
        <w:rPr>
          <w:lang w:val="en-GB"/>
        </w:rPr>
      </w:pPr>
      <w:r>
        <w:rPr>
          <w:lang w:val="en-GB"/>
        </w:rPr>
        <w:t>For each application the size of the market shall be estimated taking into account the potential for CEPT wide or global harmonisation. The required level of harmonisation within and outside CEPT for each application should also be taken into account.</w:t>
      </w:r>
    </w:p>
    <w:p w:rsidR="00B055B7" w:rsidRDefault="00B055B7" w:rsidP="00026A63">
      <w:pPr>
        <w:pStyle w:val="ECCParagraph"/>
      </w:pPr>
    </w:p>
    <w:p w:rsidR="006D1BB1" w:rsidRDefault="006D1BB1" w:rsidP="00026A63">
      <w:pPr>
        <w:pStyle w:val="ECCParagraph"/>
      </w:pPr>
    </w:p>
    <w:p w:rsidR="006D1BB1" w:rsidRDefault="006D1BB1" w:rsidP="006D1BB1">
      <w:pPr>
        <w:pStyle w:val="Titre1"/>
      </w:pPr>
      <w:bookmarkStart w:id="16" w:name="_Toc321318099"/>
      <w:bookmarkStart w:id="17" w:name="_Toc322126800"/>
      <w:r>
        <w:lastRenderedPageBreak/>
        <w:t>Description of the candidate applications, including spectrum needs</w:t>
      </w:r>
      <w:bookmarkEnd w:id="16"/>
      <w:bookmarkEnd w:id="17"/>
    </w:p>
    <w:p w:rsidR="006D1BB1" w:rsidRDefault="006D1BB1" w:rsidP="006D1BB1">
      <w:pPr>
        <w:tabs>
          <w:tab w:val="left" w:pos="1560"/>
        </w:tabs>
        <w:rPr>
          <w:rFonts w:cs="Arial"/>
          <w:i/>
          <w:szCs w:val="20"/>
          <w:highlight w:val="yellow"/>
          <w:lang w:eastAsia="de-DE"/>
        </w:rPr>
      </w:pPr>
      <w:r>
        <w:rPr>
          <w:rFonts w:cs="Arial"/>
          <w:i/>
          <w:szCs w:val="20"/>
          <w:highlight w:val="yellow"/>
          <w:lang w:eastAsia="de-DE"/>
        </w:rPr>
        <w:t>Editorial note 1:</w:t>
      </w:r>
      <w:r>
        <w:rPr>
          <w:rFonts w:cs="Arial"/>
          <w:i/>
          <w:szCs w:val="20"/>
          <w:highlight w:val="yellow"/>
          <w:lang w:eastAsia="de-DE"/>
        </w:rPr>
        <w:tab/>
        <w:t>Numbering of tables, figures, annexes, and references needs to be verified.</w:t>
      </w:r>
    </w:p>
    <w:p w:rsidR="006D1BB1" w:rsidRDefault="006D1BB1" w:rsidP="006D1BB1">
      <w:pPr>
        <w:rPr>
          <w:i/>
          <w:highlight w:val="yellow"/>
        </w:rPr>
      </w:pPr>
    </w:p>
    <w:p w:rsidR="006D1BB1" w:rsidRDefault="006D1BB1" w:rsidP="006D1BB1">
      <w:pPr>
        <w:ind w:left="1560" w:hanging="1560"/>
        <w:rPr>
          <w:i/>
        </w:rPr>
      </w:pPr>
      <w:r>
        <w:rPr>
          <w:i/>
          <w:highlight w:val="yellow"/>
        </w:rPr>
        <w:t>Editorial note 2:</w:t>
      </w:r>
      <w:r>
        <w:rPr>
          <w:i/>
          <w:highlight w:val="yellow"/>
        </w:rPr>
        <w:tab/>
        <w:t>The proposals from document 028 by Germany are not reflected. They should be considered once the content of this section becomes stable.</w:t>
      </w:r>
    </w:p>
    <w:p w:rsidR="006D1BB1" w:rsidRDefault="006D1BB1" w:rsidP="006D1BB1">
      <w:pPr>
        <w:rPr>
          <w:i/>
        </w:rPr>
      </w:pPr>
    </w:p>
    <w:p w:rsidR="006D1BB1" w:rsidRDefault="006D1BB1" w:rsidP="006D1BB1">
      <w:pPr>
        <w:pStyle w:val="ECCParagraph"/>
        <w:spacing w:after="120"/>
      </w:pPr>
      <w:r>
        <w:t>The following candidate applications are considered:</w:t>
      </w:r>
    </w:p>
    <w:p w:rsidR="006D1BB1" w:rsidRDefault="006D1BB1" w:rsidP="000F6780">
      <w:pPr>
        <w:pStyle w:val="ECCNumberedBullets"/>
        <w:numPr>
          <w:ilvl w:val="0"/>
          <w:numId w:val="20"/>
        </w:numPr>
        <w:spacing w:after="120"/>
      </w:pPr>
      <w:r>
        <w:t>Terrestrial broadcasting</w:t>
      </w:r>
    </w:p>
    <w:p w:rsidR="006D1BB1" w:rsidRDefault="006D1BB1" w:rsidP="000F6780">
      <w:pPr>
        <w:pStyle w:val="ECCNumberedBullets"/>
        <w:numPr>
          <w:ilvl w:val="0"/>
          <w:numId w:val="20"/>
        </w:numPr>
        <w:spacing w:after="120"/>
      </w:pPr>
      <w:r>
        <w:t>Mobile broadband</w:t>
      </w:r>
    </w:p>
    <w:p w:rsidR="006D1BB1" w:rsidRDefault="006D1BB1" w:rsidP="000F6780">
      <w:pPr>
        <w:pStyle w:val="ECCNumberedBullets"/>
        <w:numPr>
          <w:ilvl w:val="0"/>
          <w:numId w:val="20"/>
        </w:numPr>
        <w:spacing w:after="120"/>
      </w:pPr>
      <w:r>
        <w:t>Mobile supplemental downlink</w:t>
      </w:r>
      <w:r>
        <w:rPr>
          <w:i/>
        </w:rPr>
        <w:t xml:space="preserve"> </w:t>
      </w:r>
    </w:p>
    <w:p w:rsidR="006D1BB1" w:rsidRDefault="006D1BB1" w:rsidP="000F6780">
      <w:pPr>
        <w:pStyle w:val="ECCNumberedBullets"/>
        <w:numPr>
          <w:ilvl w:val="0"/>
          <w:numId w:val="20"/>
        </w:numPr>
        <w:spacing w:after="120"/>
      </w:pPr>
      <w:r>
        <w:t>Satellite Digital Audio Broadcasting (S-DAB)</w:t>
      </w:r>
    </w:p>
    <w:p w:rsidR="006D1BB1" w:rsidRDefault="006D1BB1" w:rsidP="000F6780">
      <w:pPr>
        <w:pStyle w:val="ECCNumberedBullets"/>
        <w:numPr>
          <w:ilvl w:val="0"/>
          <w:numId w:val="20"/>
        </w:numPr>
        <w:spacing w:after="120"/>
      </w:pPr>
      <w:r>
        <w:t>Programme Making and Special Events (PMSE)</w:t>
      </w:r>
    </w:p>
    <w:p w:rsidR="006D1BB1" w:rsidRDefault="006D1BB1" w:rsidP="000F6780">
      <w:pPr>
        <w:pStyle w:val="ECCNumberedBullets"/>
        <w:numPr>
          <w:ilvl w:val="0"/>
          <w:numId w:val="20"/>
        </w:numPr>
        <w:spacing w:after="120"/>
      </w:pPr>
      <w:r>
        <w:t>Broadband Public Protection and Disaster Relief (PPDR) for temporary and local use</w:t>
      </w:r>
    </w:p>
    <w:p w:rsidR="006D1BB1" w:rsidRDefault="006D1BB1" w:rsidP="000F6780">
      <w:pPr>
        <w:pStyle w:val="ECCNumberedBullets"/>
        <w:numPr>
          <w:ilvl w:val="0"/>
          <w:numId w:val="20"/>
        </w:numPr>
        <w:spacing w:after="120"/>
      </w:pPr>
      <w:r>
        <w:rPr>
          <w:bCs/>
        </w:rPr>
        <w:t>Broadband Direct-Air-to-Ground Communications</w:t>
      </w:r>
      <w:r>
        <w:t xml:space="preserve"> (BDA2GC)</w:t>
      </w:r>
    </w:p>
    <w:p w:rsidR="006D1BB1" w:rsidRDefault="006D1BB1" w:rsidP="00E41E35">
      <w:pPr>
        <w:pStyle w:val="Titre2"/>
      </w:pPr>
      <w:bookmarkStart w:id="18" w:name="_Toc321318100"/>
      <w:bookmarkStart w:id="19" w:name="_Toc322126801"/>
      <w:r w:rsidRPr="006D1BB1">
        <w:t>application one: Terrestrial broadcasting</w:t>
      </w:r>
      <w:bookmarkEnd w:id="18"/>
      <w:bookmarkEnd w:id="19"/>
    </w:p>
    <w:p w:rsidR="006D1BB1" w:rsidRDefault="006D1BB1" w:rsidP="006D1BB1">
      <w:pPr>
        <w:pStyle w:val="Titre3"/>
        <w:rPr>
          <w:iCs/>
          <w:caps/>
        </w:rPr>
      </w:pPr>
      <w:bookmarkStart w:id="20" w:name="_Toc321318101"/>
      <w:bookmarkStart w:id="21" w:name="_Toc322126802"/>
      <w:r>
        <w:t>Description</w:t>
      </w:r>
      <w:bookmarkEnd w:id="20"/>
      <w:bookmarkEnd w:id="21"/>
    </w:p>
    <w:p w:rsidR="006D1BB1" w:rsidRDefault="006D1BB1" w:rsidP="006D1BB1">
      <w:pPr>
        <w:pStyle w:val="ECCParagraph"/>
      </w:pPr>
      <w:r>
        <w:t>Terrestrial broadcasting is a digital terrestrial system for distribution of audio and video content in a one-to-many mode to fixed, portable, handheld and mobile receivers. In many countries terrestrial broadcasting is one of the principal means for access to radio and TV services by the general public.</w:t>
      </w:r>
    </w:p>
    <w:p w:rsidR="006D1BB1" w:rsidRDefault="006D1BB1" w:rsidP="006D1BB1">
      <w:pPr>
        <w:pStyle w:val="ECCParagraph"/>
        <w:spacing w:after="120"/>
      </w:pPr>
      <w:r>
        <w:t>The main features of terrestrial radio and TV services are:</w:t>
      </w:r>
    </w:p>
    <w:p w:rsidR="006D1BB1" w:rsidRDefault="006D1BB1" w:rsidP="000F6780">
      <w:pPr>
        <w:numPr>
          <w:ilvl w:val="0"/>
          <w:numId w:val="21"/>
        </w:numPr>
        <w:tabs>
          <w:tab w:val="left" w:pos="426"/>
          <w:tab w:val="left" w:pos="1560"/>
        </w:tabs>
        <w:spacing w:before="120"/>
      </w:pPr>
      <w:r>
        <w:t xml:space="preserve">Universal availability </w:t>
      </w:r>
    </w:p>
    <w:p w:rsidR="006D1BB1" w:rsidRDefault="006D1BB1" w:rsidP="000F6780">
      <w:pPr>
        <w:numPr>
          <w:ilvl w:val="1"/>
          <w:numId w:val="22"/>
        </w:numPr>
        <w:tabs>
          <w:tab w:val="left" w:pos="426"/>
          <w:tab w:val="left" w:pos="1560"/>
        </w:tabs>
      </w:pPr>
      <w:r>
        <w:t>coverage often exceeds 98% of the population</w:t>
      </w:r>
    </w:p>
    <w:p w:rsidR="006D1BB1" w:rsidRDefault="006D1BB1" w:rsidP="000F6780">
      <w:pPr>
        <w:numPr>
          <w:ilvl w:val="1"/>
          <w:numId w:val="22"/>
        </w:numPr>
        <w:tabs>
          <w:tab w:val="left" w:pos="426"/>
          <w:tab w:val="left" w:pos="1560"/>
        </w:tabs>
      </w:pPr>
      <w:r>
        <w:t>delivery to secondary receivers</w:t>
      </w:r>
    </w:p>
    <w:p w:rsidR="006D1BB1" w:rsidRDefault="006D1BB1" w:rsidP="000F6780">
      <w:pPr>
        <w:numPr>
          <w:ilvl w:val="1"/>
          <w:numId w:val="22"/>
        </w:numPr>
        <w:tabs>
          <w:tab w:val="left" w:pos="426"/>
          <w:tab w:val="left" w:pos="1560"/>
        </w:tabs>
      </w:pPr>
      <w:r>
        <w:t>support for services for people with disabilities</w:t>
      </w:r>
    </w:p>
    <w:p w:rsidR="006D1BB1" w:rsidRDefault="006D1BB1" w:rsidP="006D1BB1">
      <w:pPr>
        <w:tabs>
          <w:tab w:val="left" w:pos="426"/>
          <w:tab w:val="left" w:pos="1560"/>
        </w:tabs>
      </w:pPr>
    </w:p>
    <w:p w:rsidR="006D1BB1" w:rsidRDefault="006D1BB1" w:rsidP="000F6780">
      <w:pPr>
        <w:pStyle w:val="ECCParBulleted"/>
        <w:numPr>
          <w:ilvl w:val="0"/>
          <w:numId w:val="18"/>
        </w:numPr>
      </w:pPr>
      <w:r>
        <w:t>High QoS</w:t>
      </w:r>
    </w:p>
    <w:p w:rsidR="006D1BB1" w:rsidRDefault="006D1BB1" w:rsidP="000F6780">
      <w:pPr>
        <w:pStyle w:val="ECCParBulleted"/>
        <w:numPr>
          <w:ilvl w:val="0"/>
          <w:numId w:val="23"/>
        </w:numPr>
        <w:ind w:left="680"/>
        <w:jc w:val="left"/>
      </w:pPr>
      <w:r>
        <w:t>predictable and consistent across the whole service area</w:t>
      </w:r>
    </w:p>
    <w:p w:rsidR="006D1BB1" w:rsidRDefault="006D1BB1" w:rsidP="000F6780">
      <w:pPr>
        <w:pStyle w:val="ECCParBulleted"/>
        <w:numPr>
          <w:ilvl w:val="0"/>
          <w:numId w:val="23"/>
        </w:numPr>
        <w:ind w:left="680"/>
        <w:jc w:val="left"/>
      </w:pPr>
      <w:r>
        <w:t>independent of the number of simultaneous viewers and listeners</w:t>
      </w:r>
    </w:p>
    <w:p w:rsidR="006D1BB1" w:rsidRDefault="006D1BB1" w:rsidP="000F6780">
      <w:pPr>
        <w:pStyle w:val="ECCParBulleted"/>
        <w:numPr>
          <w:ilvl w:val="0"/>
          <w:numId w:val="23"/>
        </w:numPr>
        <w:ind w:left="680"/>
        <w:jc w:val="left"/>
      </w:pPr>
      <w:r>
        <w:t>control over QoS and the user experience</w:t>
      </w:r>
    </w:p>
    <w:p w:rsidR="006D1BB1" w:rsidRDefault="006D1BB1" w:rsidP="006D1BB1">
      <w:pPr>
        <w:pStyle w:val="ECCParBulleted"/>
        <w:numPr>
          <w:ilvl w:val="0"/>
          <w:numId w:val="0"/>
        </w:numPr>
        <w:tabs>
          <w:tab w:val="left" w:pos="1304"/>
        </w:tabs>
        <w:jc w:val="left"/>
      </w:pPr>
    </w:p>
    <w:p w:rsidR="006D1BB1" w:rsidRDefault="006D1BB1" w:rsidP="000F6780">
      <w:pPr>
        <w:pStyle w:val="ECCParBulleted"/>
        <w:numPr>
          <w:ilvl w:val="0"/>
          <w:numId w:val="18"/>
        </w:numPr>
      </w:pPr>
      <w:r>
        <w:t>Efficiency</w:t>
      </w:r>
    </w:p>
    <w:p w:rsidR="006D1BB1" w:rsidRDefault="006D1BB1" w:rsidP="000F6780">
      <w:pPr>
        <w:pStyle w:val="ECCParBulleted"/>
        <w:numPr>
          <w:ilvl w:val="0"/>
          <w:numId w:val="18"/>
        </w:numPr>
        <w:ind w:left="680"/>
        <w:jc w:val="left"/>
      </w:pPr>
      <w:r>
        <w:t>technically and cost efficient delivery to large audiences</w:t>
      </w:r>
    </w:p>
    <w:p w:rsidR="006D1BB1" w:rsidRDefault="006D1BB1" w:rsidP="006D1BB1">
      <w:pPr>
        <w:pStyle w:val="ECCParBulleted"/>
        <w:numPr>
          <w:ilvl w:val="0"/>
          <w:numId w:val="0"/>
        </w:numPr>
        <w:tabs>
          <w:tab w:val="left" w:pos="1304"/>
        </w:tabs>
        <w:jc w:val="left"/>
      </w:pPr>
    </w:p>
    <w:p w:rsidR="006D1BB1" w:rsidRDefault="006D1BB1" w:rsidP="000F6780">
      <w:pPr>
        <w:pStyle w:val="ECCParBulleted"/>
        <w:numPr>
          <w:ilvl w:val="0"/>
          <w:numId w:val="18"/>
        </w:numPr>
      </w:pPr>
      <w:r>
        <w:t>Flexibility</w:t>
      </w:r>
    </w:p>
    <w:p w:rsidR="006D1BB1" w:rsidRDefault="006D1BB1" w:rsidP="000F6780">
      <w:pPr>
        <w:pStyle w:val="ECCParBulleted"/>
        <w:numPr>
          <w:ilvl w:val="0"/>
          <w:numId w:val="18"/>
        </w:numPr>
        <w:ind w:left="680"/>
        <w:jc w:val="left"/>
      </w:pPr>
      <w:r>
        <w:t>possible delivery to fixed, portable and mobile reception conditions</w:t>
      </w:r>
    </w:p>
    <w:p w:rsidR="006D1BB1" w:rsidRDefault="006D1BB1" w:rsidP="000F6780">
      <w:pPr>
        <w:pStyle w:val="ECCParBulleted"/>
        <w:numPr>
          <w:ilvl w:val="0"/>
          <w:numId w:val="18"/>
        </w:numPr>
        <w:ind w:left="680"/>
        <w:jc w:val="left"/>
      </w:pPr>
      <w:r>
        <w:t>support to free-to-air reception or conditional access, or both</w:t>
      </w:r>
    </w:p>
    <w:p w:rsidR="006D1BB1" w:rsidRDefault="006D1BB1" w:rsidP="000F6780">
      <w:pPr>
        <w:pStyle w:val="ECCParBulleted"/>
        <w:numPr>
          <w:ilvl w:val="0"/>
          <w:numId w:val="18"/>
        </w:numPr>
        <w:ind w:left="680"/>
        <w:jc w:val="left"/>
      </w:pPr>
      <w:r>
        <w:t>supports public service as well as commercial broadcasting model</w:t>
      </w:r>
    </w:p>
    <w:p w:rsidR="006D1BB1" w:rsidRDefault="006D1BB1" w:rsidP="000F6780">
      <w:pPr>
        <w:pStyle w:val="ECCParBulleted"/>
        <w:numPr>
          <w:ilvl w:val="0"/>
          <w:numId w:val="18"/>
        </w:numPr>
        <w:ind w:left="680"/>
        <w:jc w:val="left"/>
      </w:pPr>
      <w:r>
        <w:t>coverage adapted to the service requirements (national, regional or local)</w:t>
      </w:r>
    </w:p>
    <w:p w:rsidR="006D1BB1" w:rsidRDefault="006D1BB1" w:rsidP="006D1BB1">
      <w:pPr>
        <w:pStyle w:val="ECCParBulleted"/>
        <w:numPr>
          <w:ilvl w:val="0"/>
          <w:numId w:val="0"/>
        </w:numPr>
        <w:tabs>
          <w:tab w:val="left" w:pos="1304"/>
        </w:tabs>
        <w:jc w:val="left"/>
      </w:pPr>
    </w:p>
    <w:p w:rsidR="006D1BB1" w:rsidRDefault="006D1BB1" w:rsidP="000F6780">
      <w:pPr>
        <w:pStyle w:val="ECCParBulleted"/>
        <w:numPr>
          <w:ilvl w:val="0"/>
          <w:numId w:val="18"/>
        </w:numPr>
      </w:pPr>
      <w:r>
        <w:t>Mass market platform</w:t>
      </w:r>
    </w:p>
    <w:p w:rsidR="006D1BB1" w:rsidRDefault="006D1BB1" w:rsidP="000F6780">
      <w:pPr>
        <w:pStyle w:val="ECCParBulleted"/>
        <w:numPr>
          <w:ilvl w:val="0"/>
          <w:numId w:val="18"/>
        </w:numPr>
        <w:ind w:left="680"/>
        <w:jc w:val="left"/>
      </w:pPr>
      <w:r>
        <w:t>widely supported by manufacturers, network operators, broadcasters, regulators and the public</w:t>
      </w:r>
    </w:p>
    <w:p w:rsidR="006D1BB1" w:rsidRDefault="006D1BB1" w:rsidP="006D1BB1">
      <w:pPr>
        <w:pStyle w:val="ECCParBulleted"/>
        <w:numPr>
          <w:ilvl w:val="0"/>
          <w:numId w:val="0"/>
        </w:numPr>
        <w:tabs>
          <w:tab w:val="left" w:pos="1304"/>
        </w:tabs>
      </w:pPr>
    </w:p>
    <w:p w:rsidR="006D1BB1" w:rsidRDefault="006D1BB1" w:rsidP="000F6780">
      <w:pPr>
        <w:pStyle w:val="ECCParBulleted"/>
        <w:numPr>
          <w:ilvl w:val="0"/>
          <w:numId w:val="18"/>
        </w:numPr>
      </w:pPr>
      <w:r>
        <w:t>Competition</w:t>
      </w:r>
    </w:p>
    <w:p w:rsidR="006D1BB1" w:rsidRDefault="006D1BB1" w:rsidP="000F6780">
      <w:pPr>
        <w:pStyle w:val="ECCParBulleted"/>
        <w:numPr>
          <w:ilvl w:val="0"/>
          <w:numId w:val="18"/>
        </w:numPr>
        <w:ind w:left="680"/>
        <w:jc w:val="left"/>
      </w:pPr>
      <w:r>
        <w:t>promotes competition even in those markets that are dominated by other delivery platforms</w:t>
      </w:r>
    </w:p>
    <w:p w:rsidR="006D1BB1" w:rsidRDefault="006D1BB1" w:rsidP="006D1BB1">
      <w:pPr>
        <w:pStyle w:val="ECCParBulleted"/>
        <w:numPr>
          <w:ilvl w:val="0"/>
          <w:numId w:val="0"/>
        </w:numPr>
        <w:tabs>
          <w:tab w:val="left" w:pos="1304"/>
        </w:tabs>
        <w:ind w:left="340" w:hanging="340"/>
        <w:jc w:val="left"/>
      </w:pPr>
    </w:p>
    <w:p w:rsidR="006D1BB1" w:rsidRDefault="006D1BB1" w:rsidP="006D1BB1">
      <w:pPr>
        <w:pStyle w:val="ECCParagraph"/>
      </w:pPr>
      <w:r>
        <w:t>Terrestrial broadcasting networks can be implemented by means of different systems, in particular the DAB and DVB families of standards and SDR, as indicated in the table 1 below:</w:t>
      </w:r>
    </w:p>
    <w:p w:rsidR="006D1BB1" w:rsidRDefault="006D1BB1" w:rsidP="007E42E6">
      <w:pPr>
        <w:pStyle w:val="ECCTabletitle"/>
      </w:pPr>
      <w:r>
        <w:lastRenderedPageBreak/>
        <w:t>Examples of terrestrial broadcasting systems</w:t>
      </w:r>
    </w:p>
    <w:tbl>
      <w:tblPr>
        <w:tblW w:w="931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233"/>
        <w:gridCol w:w="2974"/>
        <w:gridCol w:w="4108"/>
      </w:tblGrid>
      <w:tr w:rsidR="006D1BB1" w:rsidTr="006D1BB1">
        <w:trPr>
          <w:tblHeader/>
        </w:trPr>
        <w:tc>
          <w:tcPr>
            <w:tcW w:w="2235" w:type="dxa"/>
            <w:tcBorders>
              <w:top w:val="single" w:sz="4" w:space="0" w:color="D2232A"/>
              <w:left w:val="single" w:sz="4" w:space="0" w:color="D2232A"/>
              <w:bottom w:val="single" w:sz="4" w:space="0" w:color="D2232A"/>
              <w:right w:val="single" w:sz="8" w:space="0" w:color="FFFFFF"/>
            </w:tcBorders>
            <w:shd w:val="clear" w:color="auto" w:fill="D2232A"/>
            <w:vAlign w:val="center"/>
            <w:hideMark/>
          </w:tcPr>
          <w:p w:rsidR="006D1BB1" w:rsidRDefault="006D1BB1">
            <w:pPr>
              <w:spacing w:line="288" w:lineRule="auto"/>
              <w:jc w:val="center"/>
              <w:rPr>
                <w:rFonts w:cs="Arial"/>
                <w:b/>
                <w:color w:val="FFFFFF"/>
              </w:rPr>
            </w:pPr>
            <w:r>
              <w:rPr>
                <w:rFonts w:cs="Arial"/>
                <w:b/>
                <w:color w:val="FFFFFF"/>
              </w:rPr>
              <w:t>System</w:t>
            </w:r>
          </w:p>
        </w:tc>
        <w:tc>
          <w:tcPr>
            <w:tcW w:w="2976" w:type="dxa"/>
            <w:tcBorders>
              <w:top w:val="single" w:sz="4" w:space="0" w:color="D2232A"/>
              <w:left w:val="single" w:sz="8" w:space="0" w:color="FFFFFF"/>
              <w:bottom w:val="single" w:sz="4" w:space="0" w:color="D2232A"/>
              <w:right w:val="single" w:sz="8" w:space="0" w:color="FFFFFF"/>
            </w:tcBorders>
            <w:shd w:val="clear" w:color="auto" w:fill="D2232A"/>
            <w:vAlign w:val="center"/>
            <w:hideMark/>
          </w:tcPr>
          <w:p w:rsidR="006D1BB1" w:rsidRDefault="006D1BB1">
            <w:pPr>
              <w:spacing w:line="288" w:lineRule="auto"/>
              <w:jc w:val="center"/>
              <w:rPr>
                <w:b/>
                <w:color w:val="FFFFFF"/>
              </w:rPr>
            </w:pPr>
            <w:r>
              <w:rPr>
                <w:b/>
                <w:color w:val="FFFFFF"/>
              </w:rPr>
              <w:t>Required block/channel bandwidth</w:t>
            </w:r>
          </w:p>
        </w:tc>
        <w:tc>
          <w:tcPr>
            <w:tcW w:w="4111"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6D1BB1" w:rsidRDefault="006D1BB1">
            <w:pPr>
              <w:spacing w:line="288" w:lineRule="auto"/>
              <w:jc w:val="center"/>
              <w:rPr>
                <w:b/>
                <w:color w:val="FFFFFF"/>
              </w:rPr>
            </w:pPr>
            <w:r>
              <w:rPr>
                <w:b/>
                <w:color w:val="FFFFFF"/>
              </w:rPr>
              <w:t>Related Standards</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T-DAB</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ind w:left="175"/>
              <w:rPr>
                <w:rFonts w:ascii="Times New Roman" w:hAnsi="Times New Roman"/>
                <w:sz w:val="24"/>
                <w:lang w:val="en-GB" w:eastAsia="en-GB"/>
              </w:rPr>
            </w:pPr>
            <w:r>
              <w:rPr>
                <w:lang w:eastAsia="en-GB"/>
              </w:rPr>
              <w:t>ETSI – EN 300 401</w:t>
            </w:r>
          </w:p>
          <w:p w:rsidR="006D1BB1" w:rsidRDefault="006D1BB1">
            <w:pPr>
              <w:ind w:left="175"/>
              <w:rPr>
                <w:rFonts w:ascii="Times New Roman" w:hAnsi="Times New Roman"/>
                <w:sz w:val="24"/>
                <w:lang w:val="en-GB" w:eastAsia="fr-FR"/>
              </w:rPr>
            </w:pPr>
            <w:r>
              <w:rPr>
                <w:lang w:eastAsia="en-GB"/>
              </w:rPr>
              <w:t>ETSI – TR 101 496-3</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T-DMB</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ind w:left="175"/>
              <w:rPr>
                <w:rFonts w:ascii="Times New Roman" w:hAnsi="Times New Roman"/>
                <w:sz w:val="24"/>
                <w:lang w:val="en-GB" w:eastAsia="en-GB"/>
              </w:rPr>
            </w:pPr>
            <w:r>
              <w:rPr>
                <w:lang w:eastAsia="en-GB"/>
              </w:rPr>
              <w:t>ETSI – EN 300 401</w:t>
            </w:r>
          </w:p>
          <w:p w:rsidR="006D1BB1" w:rsidRDefault="006D1BB1">
            <w:pPr>
              <w:ind w:left="175"/>
              <w:rPr>
                <w:rFonts w:ascii="Times New Roman" w:hAnsi="Times New Roman"/>
                <w:sz w:val="24"/>
                <w:lang w:val="en-GB" w:eastAsia="fr-FR"/>
              </w:rPr>
            </w:pPr>
            <w:r>
              <w:rPr>
                <w:lang w:eastAsia="en-GB"/>
              </w:rPr>
              <w:t>ETSI – TS 102 428</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DAB-IP</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ind w:left="175"/>
              <w:rPr>
                <w:rFonts w:ascii="Times New Roman" w:hAnsi="Times New Roman"/>
                <w:sz w:val="24"/>
                <w:lang w:val="en-GB" w:eastAsia="en-GB"/>
              </w:rPr>
            </w:pPr>
            <w:r>
              <w:rPr>
                <w:lang w:eastAsia="en-GB"/>
              </w:rPr>
              <w:t>ETSI – EN 300 401</w:t>
            </w:r>
          </w:p>
          <w:p w:rsidR="006D1BB1" w:rsidRDefault="006D1BB1">
            <w:pPr>
              <w:ind w:left="175"/>
              <w:rPr>
                <w:rFonts w:ascii="Times New Roman" w:hAnsi="Times New Roman"/>
                <w:sz w:val="24"/>
                <w:lang w:val="en-GB" w:eastAsia="fr-FR"/>
              </w:rPr>
            </w:pPr>
            <w:r>
              <w:rPr>
                <w:lang w:eastAsia="en-GB"/>
              </w:rPr>
              <w:t>ETSI - ES 201 735</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spacing w:before="40" w:after="40"/>
              <w:rPr>
                <w:rFonts w:ascii="Times New Roman" w:hAnsi="Times New Roman"/>
                <w:sz w:val="24"/>
                <w:lang w:val="en-GB" w:eastAsia="fr-FR"/>
              </w:rPr>
            </w:pPr>
            <w:r>
              <w:t>SDR</w:t>
            </w:r>
          </w:p>
          <w:p w:rsidR="006D1BB1" w:rsidRDefault="006D1BB1">
            <w:pPr>
              <w:rPr>
                <w:rFonts w:ascii="Times New Roman" w:hAnsi="Times New Roman"/>
                <w:sz w:val="24"/>
                <w:lang w:val="en-GB" w:eastAsia="fr-FR"/>
              </w:rPr>
            </w:pPr>
            <w:r>
              <w:t>(terrestrial deployment)</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spacing w:before="40" w:after="40"/>
              <w:ind w:left="175"/>
              <w:rPr>
                <w:rFonts w:ascii="Times New Roman" w:hAnsi="Times New Roman"/>
                <w:sz w:val="24"/>
                <w:lang w:val="fi-FI" w:eastAsia="en-GB"/>
              </w:rPr>
            </w:pPr>
            <w:r>
              <w:rPr>
                <w:lang w:val="fi-FI" w:eastAsia="en-GB"/>
              </w:rPr>
              <w:t>ETSI - TR 102 525</w:t>
            </w:r>
          </w:p>
          <w:p w:rsidR="006D1BB1" w:rsidRDefault="006D1BB1">
            <w:pPr>
              <w:spacing w:before="40" w:after="40"/>
              <w:ind w:left="175"/>
              <w:rPr>
                <w:lang w:val="fi-FI" w:eastAsia="en-GB"/>
              </w:rPr>
            </w:pPr>
            <w:r>
              <w:rPr>
                <w:lang w:val="fi-FI" w:eastAsia="en-GB"/>
              </w:rPr>
              <w:t>ETSI - TS 302 550</w:t>
            </w:r>
          </w:p>
          <w:p w:rsidR="006D1BB1" w:rsidRDefault="006D1BB1">
            <w:pPr>
              <w:spacing w:before="40" w:after="40"/>
              <w:ind w:left="175"/>
              <w:rPr>
                <w:lang w:val="fi-FI" w:eastAsia="en-GB"/>
              </w:rPr>
            </w:pPr>
            <w:r>
              <w:rPr>
                <w:lang w:val="fi-FI" w:eastAsia="en-GB"/>
              </w:rPr>
              <w:t>ETSI - TS 302 551-1</w:t>
            </w:r>
          </w:p>
          <w:p w:rsidR="006D1BB1" w:rsidRDefault="006D1BB1">
            <w:pPr>
              <w:autoSpaceDE w:val="0"/>
              <w:autoSpaceDN w:val="0"/>
              <w:adjustRightInd w:val="0"/>
              <w:ind w:left="175"/>
              <w:rPr>
                <w:rFonts w:ascii="Times New Roman" w:hAnsi="Times New Roman"/>
                <w:sz w:val="24"/>
                <w:lang w:val="en-GB" w:eastAsia="en-GB"/>
              </w:rPr>
            </w:pPr>
            <w:r>
              <w:rPr>
                <w:lang w:eastAsia="en-GB"/>
              </w:rPr>
              <w:t>ETSI - TS 302 551-2</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spacing w:before="40" w:after="40"/>
              <w:rPr>
                <w:rFonts w:ascii="Times New Roman" w:hAnsi="Times New Roman"/>
                <w:sz w:val="24"/>
                <w:lang w:val="en-GB" w:eastAsia="fr-FR"/>
              </w:rPr>
            </w:pPr>
            <w:r>
              <w:t>DVB-H</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spacing w:before="40" w:after="40"/>
              <w:rPr>
                <w:rFonts w:ascii="Times New Roman" w:hAnsi="Times New Roman"/>
                <w:sz w:val="24"/>
                <w:lang w:val="en-GB" w:eastAsia="fr-FR"/>
              </w:rPr>
            </w:pPr>
            <w:r>
              <w:t>5, 6, 7 or 8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spacing w:before="40" w:after="40"/>
              <w:ind w:left="175"/>
              <w:rPr>
                <w:rFonts w:ascii="Times New Roman" w:hAnsi="Times New Roman"/>
                <w:sz w:val="24"/>
                <w:lang w:val="en-GB" w:eastAsia="fr-FR"/>
              </w:rPr>
            </w:pPr>
            <w:r>
              <w:rPr>
                <w:lang w:eastAsia="en-GB"/>
              </w:rPr>
              <w:t>ETSI – TR 102 377</w:t>
            </w:r>
          </w:p>
        </w:tc>
      </w:tr>
      <w:tr w:rsidR="006D1BB1" w:rsidRPr="00536549"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fr-FR" w:eastAsia="fr-FR"/>
              </w:rPr>
            </w:pPr>
            <w:r>
              <w:rPr>
                <w:lang w:val="fr-FR"/>
              </w:rPr>
              <w:t>DVB-T2 Base</w:t>
            </w:r>
            <w:r>
              <w:rPr>
                <w:lang w:val="fr-FR"/>
              </w:rPr>
              <w:br/>
              <w:t>DVB-T2 Lite</w:t>
            </w:r>
            <w:r>
              <w:rPr>
                <w:lang w:val="fr-FR"/>
              </w:rPr>
              <w:br/>
              <w:t>DVB-T2 xxx</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5, 6, 7, 8 and 10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ind w:left="175"/>
              <w:rPr>
                <w:rFonts w:ascii="Times New Roman" w:hAnsi="Times New Roman"/>
                <w:sz w:val="24"/>
                <w:lang w:val="fi-FI" w:eastAsia="fr-FR"/>
              </w:rPr>
            </w:pPr>
            <w:r>
              <w:rPr>
                <w:lang w:val="fi-FI"/>
              </w:rPr>
              <w:t xml:space="preserve">ETSI </w:t>
            </w:r>
            <w:r>
              <w:rPr>
                <w:lang w:val="fi-FI" w:eastAsia="en-GB"/>
              </w:rPr>
              <w:t xml:space="preserve">– </w:t>
            </w:r>
            <w:r>
              <w:rPr>
                <w:lang w:val="fi-FI"/>
              </w:rPr>
              <w:t>TR 102 831</w:t>
            </w:r>
          </w:p>
          <w:p w:rsidR="006D1BB1" w:rsidRDefault="006D1BB1">
            <w:pPr>
              <w:autoSpaceDE w:val="0"/>
              <w:autoSpaceDN w:val="0"/>
              <w:adjustRightInd w:val="0"/>
              <w:ind w:left="175"/>
              <w:rPr>
                <w:lang w:val="fi-FI"/>
              </w:rPr>
            </w:pPr>
            <w:r>
              <w:rPr>
                <w:lang w:val="fi-FI"/>
              </w:rPr>
              <w:t xml:space="preserve">ETSI </w:t>
            </w:r>
            <w:r>
              <w:rPr>
                <w:lang w:val="fi-FI" w:eastAsia="en-GB"/>
              </w:rPr>
              <w:t>–</w:t>
            </w:r>
            <w:r>
              <w:rPr>
                <w:lang w:val="fi-FI"/>
              </w:rPr>
              <w:t xml:space="preserve"> EN 302 755</w:t>
            </w:r>
          </w:p>
          <w:p w:rsidR="006D1BB1" w:rsidRDefault="006D1BB1">
            <w:pPr>
              <w:autoSpaceDE w:val="0"/>
              <w:autoSpaceDN w:val="0"/>
              <w:adjustRightInd w:val="0"/>
              <w:ind w:left="175"/>
              <w:rPr>
                <w:rFonts w:ascii="Times New Roman" w:hAnsi="Times New Roman"/>
                <w:sz w:val="24"/>
                <w:lang w:val="fi-FI" w:eastAsia="en-GB"/>
              </w:rPr>
            </w:pPr>
            <w:r>
              <w:rPr>
                <w:lang w:val="fi-FI"/>
              </w:rPr>
              <w:t xml:space="preserve">ETSI </w:t>
            </w:r>
            <w:r>
              <w:rPr>
                <w:lang w:val="fi-FI" w:eastAsia="en-GB"/>
              </w:rPr>
              <w:t>–</w:t>
            </w:r>
            <w:r>
              <w:rPr>
                <w:lang w:val="fi-FI"/>
              </w:rPr>
              <w:t xml:space="preserve"> EN 300 744</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DVB-SH</w:t>
            </w:r>
            <w:r>
              <w:br/>
              <w:t>(terrestrial component)</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5, 6, 7, 8 and 10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ind w:left="175"/>
              <w:rPr>
                <w:rFonts w:ascii="Times New Roman" w:hAnsi="Times New Roman"/>
                <w:sz w:val="24"/>
                <w:lang w:val="en-GB" w:eastAsia="fr-FR"/>
              </w:rPr>
            </w:pPr>
            <w:r>
              <w:t>ETSI – EN 302 583</w:t>
            </w:r>
          </w:p>
          <w:p w:rsidR="006D1BB1" w:rsidRDefault="006D1BB1">
            <w:pPr>
              <w:autoSpaceDE w:val="0"/>
              <w:autoSpaceDN w:val="0"/>
              <w:adjustRightInd w:val="0"/>
              <w:ind w:left="175"/>
              <w:rPr>
                <w:rFonts w:ascii="Times New Roman" w:hAnsi="Times New Roman"/>
                <w:sz w:val="24"/>
                <w:lang w:val="en-GB" w:eastAsia="fr-FR"/>
              </w:rPr>
            </w:pPr>
            <w:r>
              <w:t>ETSI – TS 102 594</w:t>
            </w:r>
          </w:p>
        </w:tc>
      </w:tr>
    </w:tbl>
    <w:p w:rsidR="006D1BB1" w:rsidRDefault="006D1BB1" w:rsidP="006D1BB1">
      <w:pPr>
        <w:rPr>
          <w:i/>
        </w:rPr>
      </w:pPr>
    </w:p>
    <w:p w:rsidR="006D1BB1" w:rsidRDefault="006D1BB1" w:rsidP="006D1BB1">
      <w:r>
        <w:t>Further information about terrestrial broadcasting standards can be found in Annex 5.</w:t>
      </w:r>
    </w:p>
    <w:p w:rsidR="006D1BB1" w:rsidRDefault="006D1BB1" w:rsidP="006D1BB1">
      <w:pPr>
        <w:pStyle w:val="Titre3"/>
      </w:pPr>
      <w:bookmarkStart w:id="22" w:name="_Toc322126803"/>
      <w:r>
        <w:t>Justification</w:t>
      </w:r>
      <w:bookmarkEnd w:id="22"/>
    </w:p>
    <w:p w:rsidR="006D1BB1" w:rsidRDefault="006D1BB1" w:rsidP="006D1BB1">
      <w:pPr>
        <w:pStyle w:val="ECCParagraph"/>
      </w:pPr>
      <w:r>
        <w:t>Demand for terrestrial broadcasting services both radio and TV is growing in most countries in CEPT. It is reflected in a growing number of radio and TV channels that have come on-air in the recent years</w:t>
      </w:r>
      <w:r>
        <w:rPr>
          <w:rStyle w:val="Appelnotedebasdep"/>
        </w:rPr>
        <w:footnoteReference w:id="3"/>
      </w:r>
      <w:r>
        <w:t xml:space="preserve"> and in a growing viewing and listening time. In additional to national and international services there is an increasing demand for local broadcasting, in particular for local radio programmes.</w:t>
      </w:r>
    </w:p>
    <w:p w:rsidR="006D1BB1" w:rsidRDefault="006D1BB1" w:rsidP="006D1BB1">
      <w:pPr>
        <w:pStyle w:val="ECCParagraph"/>
      </w:pPr>
      <w:r>
        <w:t>While the FM radio is still the most popular radio platform the capacity limits of band II have been reached in many countries and this constrains further developments. Digital radio has been introduced in a number of countries in the VHF band III. However, this band may not be available in all countries and/or may not be sufficient to satisfy the future requirements, in particular for local radio services. This is why the L-band is important for the future development of digital radio in some countries.</w:t>
      </w:r>
    </w:p>
    <w:p w:rsidR="006D1BB1" w:rsidRDefault="006D1BB1" w:rsidP="006D1BB1">
      <w:pPr>
        <w:pStyle w:val="ECCParagraph"/>
      </w:pPr>
      <w:r>
        <w:t>The L-band will also facilitate the delivery of advanced multimedia services which are provided to the consumers in addition to the traditional radio and TV programmes.</w:t>
      </w:r>
    </w:p>
    <w:p w:rsidR="006D1BB1" w:rsidRDefault="006D1BB1" w:rsidP="006D1BB1">
      <w:pPr>
        <w:pStyle w:val="ECCParagraph"/>
      </w:pPr>
      <w:r>
        <w:t xml:space="preserve">Furthermore, there is a growing market demand for non-linear broadcasting services, both audio and video (e.g. time-shifted, personalized, on-demand, interactive and second screen services). L-Band is well suited for the provision of such non-linear services, in particular if terrestrial broadcasting is combined with wireless broadband technologies. </w:t>
      </w:r>
    </w:p>
    <w:p w:rsidR="006D1BB1" w:rsidRDefault="006D1BB1" w:rsidP="006D1BB1">
      <w:pPr>
        <w:pStyle w:val="ECCParagraph"/>
      </w:pPr>
      <w:r>
        <w:t>Joint initiatives between broadcasting and mobile industries are emerging that would enable further convergence in order to enable the full range of broadcasting and multimedia services in the future. The L-band offers an opportunity for implementation of such innovative approaches.</w:t>
      </w:r>
    </w:p>
    <w:p w:rsidR="006D1BB1" w:rsidRDefault="006D1BB1" w:rsidP="006D1BB1">
      <w:pPr>
        <w:pStyle w:val="ECCParagraph"/>
      </w:pPr>
      <w:r>
        <w:t>Finally, demand has been expressed for the deployment of the subscription-based radio services in the L-band on the basis of the above mentioned SDR specification. Implementation in Europe would require taking into account the variety of languages, cultural specificities and different coverage that compose the European countries. In this respect, the L band is adequate (see also section 4.1) to anchor the deployment of national, independent subscription radio services. For instance, the existing regulation offers an option for any country to deploy subscription services according to individual needs, if and when required. This, in turn, would provide scope for further economies of scale through a harmonised use in Europe and for convergence with other services (notably with free-to-air radio).</w:t>
      </w:r>
    </w:p>
    <w:p w:rsidR="006D1BB1" w:rsidRDefault="006D1BB1" w:rsidP="006D1BB1">
      <w:pPr>
        <w:pStyle w:val="ECCParagraph"/>
      </w:pPr>
      <w:r>
        <w:lastRenderedPageBreak/>
        <w:t>It should be noted that broadcasting services in L-band have already been implemented in some European countries (see section 1.2.1 and Annex 3).</w:t>
      </w:r>
    </w:p>
    <w:p w:rsidR="006D1BB1" w:rsidRDefault="006D1BB1" w:rsidP="000F6780">
      <w:pPr>
        <w:pStyle w:val="Titre3"/>
        <w:numPr>
          <w:ilvl w:val="2"/>
          <w:numId w:val="19"/>
        </w:numPr>
      </w:pPr>
      <w:bookmarkStart w:id="23" w:name="_Toc321318103"/>
      <w:bookmarkStart w:id="24" w:name="_Toc322126804"/>
      <w:r>
        <w:t>Spectrum requirements</w:t>
      </w:r>
      <w:bookmarkEnd w:id="23"/>
      <w:bookmarkEnd w:id="24"/>
    </w:p>
    <w:p w:rsidR="006D1BB1" w:rsidRDefault="006D1BB1" w:rsidP="006D1BB1">
      <w:pPr>
        <w:pStyle w:val="ECCParagraph"/>
        <w:spacing w:after="0"/>
      </w:pPr>
      <w:r>
        <w:t>The spectrum requirement for terrestrial broadcasting applications is the frequency band 1452-1479.5 MHz which allows terrestrial broadcasting to be implemented in those countries where market demand exists.</w:t>
      </w:r>
    </w:p>
    <w:p w:rsidR="006D1BB1" w:rsidRDefault="006D1BB1" w:rsidP="000F6780">
      <w:pPr>
        <w:pStyle w:val="Titre2"/>
        <w:numPr>
          <w:ilvl w:val="1"/>
          <w:numId w:val="19"/>
        </w:numPr>
      </w:pPr>
      <w:bookmarkStart w:id="25" w:name="_Toc322126805"/>
      <w:r>
        <w:t>application two: Mobile broadband</w:t>
      </w:r>
      <w:bookmarkEnd w:id="25"/>
    </w:p>
    <w:p w:rsidR="006D1BB1" w:rsidRDefault="006D1BB1" w:rsidP="000F6780">
      <w:pPr>
        <w:pStyle w:val="Titre3"/>
        <w:numPr>
          <w:ilvl w:val="2"/>
          <w:numId w:val="19"/>
        </w:numPr>
      </w:pPr>
      <w:bookmarkStart w:id="26" w:name="_Toc321318105"/>
      <w:bookmarkStart w:id="27" w:name="_Toc322126806"/>
      <w:r>
        <w:t>Description</w:t>
      </w:r>
      <w:bookmarkEnd w:id="26"/>
      <w:bookmarkEnd w:id="27"/>
    </w:p>
    <w:p w:rsidR="006D1BB1" w:rsidRDefault="006D1BB1" w:rsidP="006D1BB1">
      <w:pPr>
        <w:pStyle w:val="ECCParagraph"/>
      </w:pPr>
      <w:r>
        <w:t>Mobile broadband is a terrestrial radiocommunication system that, by means of connected base stations and mobile station devices, is able of communicating in mobile situations in one or two directions providing various services and applications to end users, including mobile internet, e-entertainment, e-education, e-health and e-learning.</w:t>
      </w:r>
    </w:p>
    <w:p w:rsidR="006D1BB1" w:rsidRDefault="006D1BB1" w:rsidP="006D1BB1">
      <w:pPr>
        <w:pStyle w:val="ECCParagraph"/>
      </w:pPr>
      <w:r>
        <w:t xml:space="preserve">The trend in consumer devices with smartphones, tablets and dongles has changed the user behaviour in such a way that the traffic is becoming more IP based and asymmetric in terms of download and upload ratio. Users download more data than they upload. Current spectrum allocations are usually symmetrical for the mobile broadband platform. </w:t>
      </w:r>
    </w:p>
    <w:p w:rsidR="006D1BB1" w:rsidRDefault="006D1BB1" w:rsidP="006D1BB1">
      <w:pPr>
        <w:pStyle w:val="ECCParagraph"/>
      </w:pPr>
      <w:r>
        <w:t>Mobile broadband applications could be provided by either FDD (frequency division duplex) with in-band or out-band pairing or TDD (time division duplex) systems. In case of FDD systems the maximum of 40 MHz potentially available in the L-band is considered not to be sufficient for a viable eco-system for in-band pairing.</w:t>
      </w:r>
    </w:p>
    <w:p w:rsidR="006D1BB1" w:rsidRDefault="006D1BB1" w:rsidP="006D1BB1">
      <w:pPr>
        <w:pStyle w:val="ECCParagraph"/>
      </w:pPr>
      <w:r>
        <w:t>Some examples of mobile broadband systems and their required bandwidths are provided in the table below. Which technology route to take will depend on a variety of factors depending on the operator, the availability of alternative spectrum, geography, demography and local conditions.</w:t>
      </w:r>
    </w:p>
    <w:p w:rsidR="006D1BB1" w:rsidRDefault="006D1BB1" w:rsidP="007E42E6">
      <w:pPr>
        <w:pStyle w:val="ECCTabletitle"/>
      </w:pPr>
      <w:bookmarkStart w:id="28" w:name="_Ref310935257"/>
      <w:r>
        <w:t xml:space="preserve">Examples of mobile broadband </w:t>
      </w:r>
      <w:bookmarkEnd w:id="28"/>
      <w:r>
        <w:t>standards</w:t>
      </w:r>
    </w:p>
    <w:tbl>
      <w:tblPr>
        <w:tblW w:w="931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233"/>
        <w:gridCol w:w="2974"/>
        <w:gridCol w:w="4108"/>
      </w:tblGrid>
      <w:tr w:rsidR="006D1BB1" w:rsidTr="006D1BB1">
        <w:trPr>
          <w:tblHeader/>
        </w:trPr>
        <w:tc>
          <w:tcPr>
            <w:tcW w:w="2235" w:type="dxa"/>
            <w:tcBorders>
              <w:top w:val="single" w:sz="4" w:space="0" w:color="D2232A"/>
              <w:left w:val="single" w:sz="4" w:space="0" w:color="D2232A"/>
              <w:bottom w:val="single" w:sz="4" w:space="0" w:color="D2232A"/>
              <w:right w:val="single" w:sz="8" w:space="0" w:color="FFFFFF"/>
            </w:tcBorders>
            <w:shd w:val="clear" w:color="auto" w:fill="D2232A"/>
            <w:vAlign w:val="center"/>
            <w:hideMark/>
          </w:tcPr>
          <w:p w:rsidR="006D1BB1" w:rsidRDefault="006D1BB1">
            <w:pPr>
              <w:spacing w:line="288" w:lineRule="auto"/>
              <w:jc w:val="center"/>
              <w:rPr>
                <w:rFonts w:cs="Arial"/>
                <w:b/>
                <w:color w:val="FFFFFF"/>
              </w:rPr>
            </w:pPr>
            <w:r>
              <w:rPr>
                <w:rFonts w:cs="Arial"/>
                <w:b/>
                <w:color w:val="FFFFFF"/>
              </w:rPr>
              <w:t>Standard</w:t>
            </w:r>
          </w:p>
        </w:tc>
        <w:tc>
          <w:tcPr>
            <w:tcW w:w="2976" w:type="dxa"/>
            <w:tcBorders>
              <w:top w:val="single" w:sz="4" w:space="0" w:color="D2232A"/>
              <w:left w:val="single" w:sz="8" w:space="0" w:color="FFFFFF"/>
              <w:bottom w:val="single" w:sz="4" w:space="0" w:color="D2232A"/>
              <w:right w:val="single" w:sz="8" w:space="0" w:color="FFFFFF"/>
            </w:tcBorders>
            <w:shd w:val="clear" w:color="auto" w:fill="D2232A"/>
            <w:vAlign w:val="center"/>
            <w:hideMark/>
          </w:tcPr>
          <w:p w:rsidR="006D1BB1" w:rsidRDefault="006D1BB1">
            <w:pPr>
              <w:spacing w:line="288" w:lineRule="auto"/>
              <w:jc w:val="center"/>
              <w:rPr>
                <w:b/>
                <w:color w:val="FFFFFF"/>
              </w:rPr>
            </w:pPr>
            <w:r>
              <w:rPr>
                <w:b/>
                <w:color w:val="FFFFFF"/>
              </w:rPr>
              <w:t xml:space="preserve">Required block/channel bandwidth </w:t>
            </w:r>
          </w:p>
        </w:tc>
        <w:tc>
          <w:tcPr>
            <w:tcW w:w="4111"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6D1BB1" w:rsidRDefault="006D1BB1">
            <w:pPr>
              <w:spacing w:line="288" w:lineRule="auto"/>
              <w:jc w:val="center"/>
              <w:rPr>
                <w:b/>
                <w:color w:val="FFFFFF"/>
              </w:rPr>
            </w:pPr>
            <w:r>
              <w:rPr>
                <w:b/>
                <w:color w:val="FFFFFF"/>
              </w:rPr>
              <w:t>Related specifications</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cs="Arial"/>
                <w:szCs w:val="20"/>
              </w:rPr>
            </w:pPr>
            <w:r>
              <w:rPr>
                <w:rFonts w:cs="Arial"/>
                <w:szCs w:val="20"/>
              </w:rPr>
              <w:t>UMTS/HSPA+</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cs="Arial"/>
                <w:szCs w:val="20"/>
              </w:rPr>
            </w:pPr>
            <w:r>
              <w:rPr>
                <w:rFonts w:cs="Arial"/>
                <w:szCs w:val="20"/>
              </w:rPr>
              <w:t xml:space="preserve">5, 10 MHz </w:t>
            </w:r>
            <w:r>
              <w:rPr>
                <w:rFonts w:cs="Arial"/>
                <w:szCs w:val="20"/>
              </w:rPr>
              <w:br/>
              <w:t>(in-band carrier aggregation)</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autoSpaceDE w:val="0"/>
              <w:autoSpaceDN w:val="0"/>
              <w:adjustRightInd w:val="0"/>
              <w:rPr>
                <w:rFonts w:cs="Arial"/>
                <w:szCs w:val="20"/>
                <w:lang w:eastAsia="en-GB"/>
              </w:rPr>
            </w:pPr>
            <w:r>
              <w:rPr>
                <w:rFonts w:cs="Arial"/>
                <w:szCs w:val="20"/>
                <w:lang w:val="en-GB" w:eastAsia="en-GB"/>
              </w:rPr>
              <w:t>3GPP Release 6 to 8</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cs="Arial"/>
                <w:szCs w:val="20"/>
              </w:rPr>
            </w:pPr>
            <w:r>
              <w:rPr>
                <w:rFonts w:cs="Arial"/>
                <w:szCs w:val="20"/>
                <w:lang w:val="en-GB"/>
              </w:rPr>
              <w:t>LTE</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cs="Arial"/>
                <w:szCs w:val="20"/>
              </w:rPr>
            </w:pPr>
            <w:r>
              <w:rPr>
                <w:rFonts w:cs="Arial"/>
                <w:szCs w:val="20"/>
                <w:lang w:val="en-GB"/>
              </w:rPr>
              <w:t>5, 10</w:t>
            </w:r>
            <w:r>
              <w:rPr>
                <w:rFonts w:cs="Arial"/>
                <w:szCs w:val="20"/>
              </w:rPr>
              <w:t>, 15</w:t>
            </w:r>
            <w:r>
              <w:rPr>
                <w:rFonts w:cs="Arial"/>
                <w:szCs w:val="20"/>
                <w:lang w:val="en-GB"/>
              </w:rPr>
              <w:t xml:space="preserve"> and 20 MHz</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autoSpaceDE w:val="0"/>
              <w:autoSpaceDN w:val="0"/>
              <w:adjustRightInd w:val="0"/>
              <w:rPr>
                <w:rFonts w:cs="Arial"/>
                <w:szCs w:val="20"/>
                <w:lang w:eastAsia="en-GB"/>
              </w:rPr>
            </w:pPr>
            <w:r>
              <w:rPr>
                <w:rFonts w:cs="Arial"/>
                <w:szCs w:val="20"/>
                <w:lang w:val="en-GB" w:eastAsia="en-GB"/>
              </w:rPr>
              <w:t>3GPP Release 8 and 9</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UMTS/HSPA+</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ascii="Times New Roman" w:hAnsi="Times New Roman" w:cs="Arial"/>
                <w:sz w:val="24"/>
                <w:szCs w:val="20"/>
                <w:lang w:val="en-GB" w:eastAsia="fr-FR"/>
              </w:rPr>
            </w:pPr>
            <w:r>
              <w:rPr>
                <w:rFonts w:cs="Arial"/>
                <w:szCs w:val="20"/>
              </w:rPr>
              <w:t xml:space="preserve">5,10, 15, 20 MHz </w:t>
            </w:r>
            <w:r>
              <w:rPr>
                <w:rFonts w:cs="Arial"/>
                <w:szCs w:val="20"/>
              </w:rPr>
              <w:br/>
              <w:t>(carrier aggregation across bands)</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autoSpaceDE w:val="0"/>
              <w:autoSpaceDN w:val="0"/>
              <w:adjustRightInd w:val="0"/>
              <w:rPr>
                <w:rFonts w:ascii="Times New Roman" w:hAnsi="Times New Roman" w:cs="Arial"/>
                <w:sz w:val="24"/>
                <w:szCs w:val="20"/>
                <w:lang w:val="en-GB" w:eastAsia="en-GB"/>
              </w:rPr>
            </w:pPr>
            <w:r>
              <w:rPr>
                <w:rFonts w:cs="Arial"/>
                <w:szCs w:val="20"/>
                <w:lang w:eastAsia="en-GB"/>
              </w:rPr>
              <w:t>3GPP Release 9</w:t>
            </w:r>
            <w:r>
              <w:rPr>
                <w:rFonts w:cs="Arial"/>
                <w:szCs w:val="20"/>
                <w:lang w:val="en-GB" w:eastAsia="en-GB"/>
              </w:rPr>
              <w:t xml:space="preserve">, </w:t>
            </w:r>
            <w:r>
              <w:rPr>
                <w:rFonts w:cs="Arial"/>
                <w:szCs w:val="20"/>
                <w:lang w:eastAsia="en-GB"/>
              </w:rPr>
              <w:t xml:space="preserve">10 </w:t>
            </w:r>
            <w:r>
              <w:rPr>
                <w:rFonts w:cs="Arial"/>
                <w:szCs w:val="20"/>
                <w:lang w:val="en-GB" w:eastAsia="en-GB"/>
              </w:rPr>
              <w:t>and beyond</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LTE-Advanced</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ascii="Times New Roman" w:hAnsi="Times New Roman" w:cs="Arial"/>
                <w:sz w:val="24"/>
                <w:szCs w:val="20"/>
                <w:lang w:val="en-GB" w:eastAsia="fr-FR"/>
              </w:rPr>
            </w:pPr>
            <w:r>
              <w:rPr>
                <w:rFonts w:cs="Arial"/>
                <w:szCs w:val="20"/>
              </w:rPr>
              <w:t xml:space="preserve">1.4, 3, 5, 10 and 20 MHz </w:t>
            </w:r>
            <w:r>
              <w:rPr>
                <w:rFonts w:cs="Arial"/>
                <w:szCs w:val="20"/>
              </w:rPr>
              <w:br/>
              <w:t>(and higher values up to 100 MHz by carrier aggregation</w:t>
            </w:r>
            <w:r>
              <w:rPr>
                <w:rFonts w:cs="Arial"/>
                <w:szCs w:val="20"/>
                <w:lang w:val="en-GB"/>
              </w:rPr>
              <w:t xml:space="preserve"> across bands</w:t>
            </w:r>
            <w:r>
              <w:rPr>
                <w:rFonts w:cs="Arial"/>
                <w:szCs w:val="20"/>
              </w:rPr>
              <w:t>)</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 xml:space="preserve">3GPP Release 10 </w:t>
            </w:r>
            <w:r>
              <w:rPr>
                <w:rFonts w:cs="Arial"/>
                <w:szCs w:val="20"/>
                <w:lang w:val="en-GB"/>
              </w:rPr>
              <w:t>and beyond</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WiMAX</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 xml:space="preserve">5, 10 MHz </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ascii="Times New Roman" w:hAnsi="Times New Roman" w:cs="Arial"/>
                <w:sz w:val="24"/>
                <w:szCs w:val="20"/>
                <w:lang w:val="en-GB" w:eastAsia="fr-FR"/>
              </w:rPr>
            </w:pPr>
            <w:r>
              <w:rPr>
                <w:rFonts w:cs="Arial"/>
                <w:szCs w:val="20"/>
              </w:rPr>
              <w:t>IEEE 802.16-2004</w:t>
            </w:r>
          </w:p>
          <w:p w:rsidR="006D1BB1" w:rsidRDefault="006D1BB1">
            <w:pPr>
              <w:rPr>
                <w:rFonts w:ascii="Times New Roman" w:hAnsi="Times New Roman" w:cs="Arial"/>
                <w:sz w:val="24"/>
                <w:szCs w:val="20"/>
                <w:lang w:val="en-GB" w:eastAsia="fr-FR"/>
              </w:rPr>
            </w:pPr>
            <w:r>
              <w:rPr>
                <w:rFonts w:cs="Arial"/>
                <w:szCs w:val="20"/>
              </w:rPr>
              <w:t xml:space="preserve">IEEE 802.16e-2005 </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spacing w:before="40" w:after="40"/>
              <w:rPr>
                <w:rFonts w:ascii="Times New Roman" w:hAnsi="Times New Roman" w:cs="Arial"/>
                <w:sz w:val="24"/>
                <w:szCs w:val="20"/>
                <w:lang w:val="en-GB" w:eastAsia="fr-FR"/>
              </w:rPr>
            </w:pPr>
            <w:r>
              <w:rPr>
                <w:rFonts w:cs="Arial"/>
                <w:szCs w:val="20"/>
              </w:rPr>
              <w:t>CDMA revB</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spacing w:before="40" w:after="40"/>
              <w:rPr>
                <w:rFonts w:ascii="Times New Roman" w:hAnsi="Times New Roman" w:cs="Arial"/>
                <w:sz w:val="24"/>
                <w:szCs w:val="20"/>
                <w:lang w:val="en-GB" w:eastAsia="fr-FR"/>
              </w:rPr>
            </w:pPr>
            <w:r>
              <w:rPr>
                <w:rFonts w:cs="Arial"/>
                <w:szCs w:val="20"/>
              </w:rPr>
              <w:t>1.25, 5, 10, 15, 20 MHz (by carrier aggregation, up to 15 carriers)</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spacing w:before="40" w:after="40"/>
              <w:rPr>
                <w:rFonts w:ascii="Times New Roman" w:hAnsi="Times New Roman"/>
                <w:sz w:val="24"/>
                <w:lang w:val="en-GB" w:eastAsia="fr-FR"/>
              </w:rPr>
            </w:pPr>
            <w:r>
              <w:t>3GPP2 C.S0024-B</w:t>
            </w:r>
          </w:p>
          <w:p w:rsidR="006D1BB1" w:rsidRDefault="006D1BB1">
            <w:pPr>
              <w:spacing w:before="40" w:after="40"/>
              <w:rPr>
                <w:rFonts w:ascii="Times New Roman" w:hAnsi="Times New Roman" w:cs="Arial"/>
                <w:sz w:val="24"/>
                <w:szCs w:val="20"/>
                <w:lang w:val="en-GB" w:eastAsia="fr-FR"/>
              </w:rPr>
            </w:pPr>
            <w:r>
              <w:t>TIA/EIA/IS-856-B. Rev. B</w:t>
            </w:r>
          </w:p>
        </w:tc>
      </w:tr>
    </w:tbl>
    <w:p w:rsidR="006D1BB1" w:rsidRDefault="006D1BB1" w:rsidP="006D1BB1">
      <w:pPr>
        <w:pStyle w:val="ECCTablenote"/>
      </w:pPr>
    </w:p>
    <w:p w:rsidR="006D1BB1" w:rsidRDefault="006D1BB1" w:rsidP="006D1BB1">
      <w:pPr>
        <w:pStyle w:val="ECCTablenote"/>
      </w:pPr>
      <w:r>
        <w:t>Mobile broadband technologies are described in details in Annex 6.</w:t>
      </w:r>
    </w:p>
    <w:p w:rsidR="006D1BB1" w:rsidRDefault="006D1BB1" w:rsidP="000F6780">
      <w:pPr>
        <w:pStyle w:val="Titre3"/>
        <w:numPr>
          <w:ilvl w:val="2"/>
          <w:numId w:val="19"/>
        </w:numPr>
      </w:pPr>
      <w:bookmarkStart w:id="29" w:name="_Toc321318106"/>
      <w:bookmarkStart w:id="30" w:name="_Toc322126807"/>
      <w:r>
        <w:lastRenderedPageBreak/>
        <w:t>Justification</w:t>
      </w:r>
      <w:bookmarkEnd w:id="29"/>
      <w:bookmarkEnd w:id="30"/>
    </w:p>
    <w:p w:rsidR="006D1BB1" w:rsidRDefault="006D1BB1" w:rsidP="006D1BB1">
      <w:pPr>
        <w:pStyle w:val="ECCParagraph"/>
      </w:pPr>
      <w:r>
        <w:t>Within a few years time, data services are expected to be accessed more often from smartphones than from desktop computers for the provision of a variety of bandwidth-intensive services (banking, shopping, multimedia content, education, social media, e-health). As a result, data traffic over mobile networks is expected to grow considerably in the coming years</w:t>
      </w:r>
      <w:r>
        <w:rPr>
          <w:rStyle w:val="Appelnotedebasdep"/>
        </w:rPr>
        <w:footnoteReference w:id="4"/>
      </w:r>
      <w:r>
        <w:t xml:space="preserve">. Spectrum availability for mobile broadband will therefore be key in order to cope with the consumers demand by expanding the network capacity and coverage. </w:t>
      </w:r>
    </w:p>
    <w:p w:rsidR="006D1BB1" w:rsidRDefault="006D1BB1" w:rsidP="006D1BB1">
      <w:pPr>
        <w:pStyle w:val="ECCParagraph"/>
      </w:pPr>
      <w:r>
        <w:t>The need for additional spectrum for mobile broadband is recognized at European level by both RSPG and CEPT</w:t>
      </w:r>
      <w:r>
        <w:rPr>
          <w:rStyle w:val="Appelnotedebasdep"/>
        </w:rPr>
        <w:footnoteReference w:id="5"/>
      </w:r>
      <w:r>
        <w:t>.</w:t>
      </w:r>
    </w:p>
    <w:p w:rsidR="006D1BB1" w:rsidRDefault="006D1BB1" w:rsidP="006D1BB1">
      <w:pPr>
        <w:pStyle w:val="ECCParagraph"/>
      </w:pPr>
      <w:r>
        <w:t>The L-band is within the working range of the current cellular networks used by the mobile broadband systems which could have a positive impact on the equipment design and cost. The propagation characteristics of the band makes it a good complement to frequency bands already available.</w:t>
      </w:r>
    </w:p>
    <w:p w:rsidR="006D1BB1" w:rsidRDefault="006D1BB1" w:rsidP="000F6780">
      <w:pPr>
        <w:pStyle w:val="Titre3"/>
        <w:numPr>
          <w:ilvl w:val="2"/>
          <w:numId w:val="19"/>
        </w:numPr>
      </w:pPr>
      <w:bookmarkStart w:id="31" w:name="_Toc321318107"/>
      <w:bookmarkStart w:id="32" w:name="_Toc322126808"/>
      <w:r>
        <w:t>Spectrum requirements</w:t>
      </w:r>
      <w:bookmarkEnd w:id="31"/>
      <w:bookmarkEnd w:id="32"/>
    </w:p>
    <w:p w:rsidR="006D1BB1" w:rsidRDefault="006D1BB1" w:rsidP="006D1BB1">
      <w:pPr>
        <w:pStyle w:val="ECCParagraph"/>
      </w:pPr>
      <w:r>
        <w:t>Broadband mobile d</w:t>
      </w:r>
      <w:r>
        <w:rPr>
          <w:lang w:val="en-US"/>
        </w:rPr>
        <w:t xml:space="preserve">ata </w:t>
      </w:r>
      <w:r>
        <w:t>services are currently deployed over 5 MHz and 10 MHz wide channels with UMTS/HSPA+ and over 10, 15 and 20 MHz wide channels with LTE. The market request for increased network download speed has led to the current deployment of systems operating over larger bandwidths (10 MHz, 20 MHz, 40 MHz, etc.) through the introduction of multi-carrier and multi-band aggregation. In this context, bandwidths lower than 5 MHz is not appropriate for significant improvement of speeds and user experience while bandwidths of 5, 10 MHz and more would appropriately complement carriers in other frequency bands. The attractiveness of 1452-1492 MHz band deployment for an operator is linked to the possibility of deploying a network for at least 10 MHz (TDD or in one direction in case of FDD) of capacity to make network investments justifiable.</w:t>
      </w:r>
    </w:p>
    <w:p w:rsidR="006D1BB1" w:rsidRDefault="006D1BB1" w:rsidP="006D1BB1">
      <w:pPr>
        <w:pStyle w:val="ECCParagraph"/>
      </w:pPr>
      <w:r>
        <w:t>The success of a frequency bands depends on the emergence of an eco-system, i.e. on a significant terminal market supporting the band. Such a market usually occurs when a band is harmonised on a large basis and when most operators have deployed networks in a band. At the opposite, if only one operator is using a specific technology/frequency band in a country, it would struggle to produce  equipment. There are typically 3 or 4 Mobile Network Operators in European countries.</w:t>
      </w:r>
    </w:p>
    <w:p w:rsidR="006D1BB1" w:rsidRDefault="006D1BB1" w:rsidP="006D1BB1">
      <w:pPr>
        <w:pStyle w:val="ECCParagraph"/>
      </w:pPr>
      <w:r>
        <w:rPr>
          <w:rFonts w:cs="Arial"/>
          <w:bCs/>
          <w:kern w:val="32"/>
          <w:szCs w:val="32"/>
        </w:rPr>
        <w:t>T</w:t>
      </w:r>
      <w:r>
        <w:t>he band 1452-1492 MHz would be offering 40 MHz to augment the capacity of mobile broadband networks which is regarded to be a minimum amount of spectrum required, in particular assuming 3-4 operators within the band.</w:t>
      </w:r>
    </w:p>
    <w:p w:rsidR="006D1BB1" w:rsidRDefault="006D1BB1" w:rsidP="000F6780">
      <w:pPr>
        <w:pStyle w:val="Titre2"/>
        <w:numPr>
          <w:ilvl w:val="1"/>
          <w:numId w:val="19"/>
        </w:numPr>
      </w:pPr>
      <w:bookmarkStart w:id="33" w:name="_Toc322126809"/>
      <w:r>
        <w:t>application three: Mobile SUPPLEMENTAL downlink</w:t>
      </w:r>
      <w:bookmarkEnd w:id="33"/>
    </w:p>
    <w:p w:rsidR="006D1BB1" w:rsidRDefault="006D1BB1" w:rsidP="000F6780">
      <w:pPr>
        <w:pStyle w:val="Titre3"/>
        <w:numPr>
          <w:ilvl w:val="2"/>
          <w:numId w:val="19"/>
        </w:numPr>
      </w:pPr>
      <w:bookmarkStart w:id="34" w:name="_Toc321318109"/>
      <w:bookmarkStart w:id="35" w:name="_Toc322126810"/>
      <w:r>
        <w:t>Description</w:t>
      </w:r>
      <w:bookmarkEnd w:id="34"/>
      <w:bookmarkEnd w:id="35"/>
    </w:p>
    <w:p w:rsidR="006D1BB1" w:rsidRDefault="006D1BB1" w:rsidP="006D1BB1">
      <w:pPr>
        <w:pStyle w:val="ECCParagraph"/>
      </w:pPr>
      <w:r>
        <w:rPr>
          <w:iCs/>
        </w:rPr>
        <w:t>Mobile  Supplemental Downlink (Mobile SDL ) is a feature</w:t>
      </w:r>
      <w:r>
        <w:t xml:space="preserve"> within a mobile broadband  system, which by means of base station transmitters in the network, is able  using unpaired spectrum to provide a supplemental downlink  capacity to carry efficiently comprehensive text, voice, images, sound and video content in unicasting, multicasting and/or broadcasting mode to mobile devices.</w:t>
      </w:r>
    </w:p>
    <w:p w:rsidR="006D1BB1" w:rsidRDefault="006D1BB1" w:rsidP="006D1BB1">
      <w:pPr>
        <w:pStyle w:val="ECCParagraph"/>
      </w:pPr>
      <w:r>
        <w:t>Convergence is often referred to as a key technological evolution in the digital society, and the practical application is now materializing with the convergence of mobile broadband, fixed and broadcasting service offerings. The driving factor seems to be the requirement for rich multimedia and internet content carried to and from mobile devices. Multimedia content is consumed in various forms such as real time broadcast content, high definition audio/video streaming,  podcasts, file casts, on-line gaming, social networking and apps downloading and is provided by a multitude of players under several different business models.</w:t>
      </w:r>
    </w:p>
    <w:p w:rsidR="006D1BB1" w:rsidRDefault="006D1BB1" w:rsidP="006D1BB1">
      <w:pPr>
        <w:pStyle w:val="ECCParagraph"/>
        <w:rPr>
          <w:szCs w:val="20"/>
        </w:rPr>
      </w:pPr>
      <w:r>
        <w:rPr>
          <w:szCs w:val="20"/>
        </w:rPr>
        <w:lastRenderedPageBreak/>
        <w:t>The data based traffic over mobile broadband networks is predicted to increase rapidly over the coming years driven by mobile multimedia usage with a particular evolution towards asymmetrical traffic and therefore  an increasing demand for downlink capacity.</w:t>
      </w:r>
    </w:p>
    <w:p w:rsidR="006D1BB1" w:rsidRDefault="006D1BB1" w:rsidP="006D1BB1">
      <w:pPr>
        <w:pStyle w:val="ECCParagraph"/>
      </w:pPr>
      <w:r>
        <w:t>3G/4G mobile technologies have already evolved to support traffic asymmetry and the efficient delivery of mobile multimedia services (UMTS/HSPA 3GPP specification Release 9 and beyond, LTE-Advanced 3GPP specification Release 10 and beyond) with Mobile SDL using multi-bands and multi-carriers aggregation capabilities. As highlighted in Table 3, UMTS/HSPA supports from 5 MHz to 40 MHz channel bandwidth aggregation and LTE-Advanced supports from 5 MHz to 100 MHz channel bandwidth aggregation in the downlink in multiple bands including the L-band.</w:t>
      </w:r>
    </w:p>
    <w:p w:rsidR="006D1BB1" w:rsidRDefault="006D1BB1" w:rsidP="006D1BB1">
      <w:pPr>
        <w:pStyle w:val="ECCParagraph"/>
      </w:pPr>
      <w:r>
        <w:t>LTE (3GPP specification Release 9 and beyond) also includes evolved Multimedia Broadcast and Multicast Services capabilities (eMBMS) which would enable to deliver rich mobile multimedia content to users using SDL spectrum in a flexible manner. It allows the mobile broadband network to switch dynamically from a unicast to a broadcasting mode on a cell basis to very efficiently address users demand for live or on-demand content and other multimedia services.</w:t>
      </w:r>
    </w:p>
    <w:p w:rsidR="006D1BB1" w:rsidRDefault="006D1BB1" w:rsidP="007E42E6">
      <w:pPr>
        <w:pStyle w:val="ECCTabletitle"/>
      </w:pPr>
      <w:r>
        <w:t>Mobile</w:t>
      </w:r>
      <w:r w:rsidR="007E42E6">
        <w:t xml:space="preserve"> broadband standards supporting</w:t>
      </w:r>
      <w:r>
        <w:t xml:space="preserve"> Mobile SDL</w:t>
      </w:r>
    </w:p>
    <w:tbl>
      <w:tblPr>
        <w:tblW w:w="931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233"/>
        <w:gridCol w:w="2974"/>
        <w:gridCol w:w="4108"/>
      </w:tblGrid>
      <w:tr w:rsidR="006D1BB1" w:rsidTr="006D1BB1">
        <w:trPr>
          <w:tblHeader/>
        </w:trPr>
        <w:tc>
          <w:tcPr>
            <w:tcW w:w="2235" w:type="dxa"/>
            <w:tcBorders>
              <w:top w:val="single" w:sz="4" w:space="0" w:color="D2232A"/>
              <w:left w:val="single" w:sz="4" w:space="0" w:color="D2232A"/>
              <w:bottom w:val="single" w:sz="4" w:space="0" w:color="D2232A"/>
              <w:right w:val="single" w:sz="8" w:space="0" w:color="FFFFFF"/>
            </w:tcBorders>
            <w:shd w:val="clear" w:color="auto" w:fill="D2232A"/>
            <w:vAlign w:val="center"/>
            <w:hideMark/>
          </w:tcPr>
          <w:p w:rsidR="006D1BB1" w:rsidRDefault="006D1BB1">
            <w:pPr>
              <w:spacing w:line="288" w:lineRule="auto"/>
              <w:jc w:val="center"/>
              <w:rPr>
                <w:rFonts w:cs="Arial"/>
                <w:b/>
                <w:color w:val="FFFFFF"/>
              </w:rPr>
            </w:pPr>
            <w:r>
              <w:rPr>
                <w:rFonts w:cs="Arial"/>
                <w:b/>
                <w:color w:val="FFFFFF"/>
              </w:rPr>
              <w:t>Standard</w:t>
            </w:r>
          </w:p>
        </w:tc>
        <w:tc>
          <w:tcPr>
            <w:tcW w:w="2976" w:type="dxa"/>
            <w:tcBorders>
              <w:top w:val="single" w:sz="4" w:space="0" w:color="D2232A"/>
              <w:left w:val="single" w:sz="8" w:space="0" w:color="FFFFFF"/>
              <w:bottom w:val="single" w:sz="4" w:space="0" w:color="D2232A"/>
              <w:right w:val="single" w:sz="8" w:space="0" w:color="FFFFFF"/>
            </w:tcBorders>
            <w:shd w:val="clear" w:color="auto" w:fill="D2232A"/>
            <w:vAlign w:val="center"/>
            <w:hideMark/>
          </w:tcPr>
          <w:p w:rsidR="006D1BB1" w:rsidRDefault="006D1BB1">
            <w:pPr>
              <w:spacing w:line="288" w:lineRule="auto"/>
              <w:jc w:val="center"/>
              <w:rPr>
                <w:b/>
                <w:color w:val="FFFFFF"/>
              </w:rPr>
            </w:pPr>
            <w:r>
              <w:rPr>
                <w:b/>
                <w:color w:val="FFFFFF"/>
              </w:rPr>
              <w:t xml:space="preserve">Aggregated downlink Bandwidth </w:t>
            </w:r>
          </w:p>
        </w:tc>
        <w:tc>
          <w:tcPr>
            <w:tcW w:w="4111"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6D1BB1" w:rsidRDefault="006D1BB1">
            <w:pPr>
              <w:spacing w:line="288" w:lineRule="auto"/>
              <w:jc w:val="center"/>
              <w:rPr>
                <w:b/>
                <w:color w:val="FFFFFF"/>
              </w:rPr>
            </w:pPr>
            <w:r>
              <w:rPr>
                <w:b/>
                <w:color w:val="FFFFFF"/>
              </w:rPr>
              <w:t>Related specifications</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UMT/HSPA+</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ascii="Times New Roman" w:hAnsi="Times New Roman" w:cs="Arial"/>
                <w:sz w:val="24"/>
                <w:szCs w:val="20"/>
                <w:lang w:val="en-GB" w:eastAsia="fr-FR"/>
              </w:rPr>
            </w:pPr>
            <w:r>
              <w:rPr>
                <w:rFonts w:cs="Arial"/>
                <w:szCs w:val="20"/>
              </w:rPr>
              <w:t>Up to 40 MHz(using carrier aggregation across bands)</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autoSpaceDE w:val="0"/>
              <w:autoSpaceDN w:val="0"/>
              <w:adjustRightInd w:val="0"/>
              <w:rPr>
                <w:rFonts w:ascii="Times New Roman" w:hAnsi="Times New Roman" w:cs="Arial"/>
                <w:sz w:val="24"/>
                <w:szCs w:val="20"/>
                <w:lang w:val="en-GB" w:eastAsia="en-GB"/>
              </w:rPr>
            </w:pPr>
            <w:r>
              <w:rPr>
                <w:rFonts w:cs="Arial"/>
                <w:szCs w:val="20"/>
                <w:lang w:eastAsia="en-GB"/>
              </w:rPr>
              <w:t xml:space="preserve">3GPP Release 9 </w:t>
            </w:r>
            <w:r>
              <w:rPr>
                <w:rFonts w:cs="Arial"/>
                <w:szCs w:val="20"/>
                <w:lang w:val="en-GB" w:eastAsia="en-GB"/>
              </w:rPr>
              <w:t>and beyond</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LTE-Advanced</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cs="Arial"/>
                <w:szCs w:val="20"/>
                <w:lang w:val="en-GB"/>
              </w:rPr>
            </w:pPr>
            <w:r>
              <w:rPr>
                <w:rFonts w:cs="Arial"/>
                <w:szCs w:val="20"/>
              </w:rPr>
              <w:t>Up to 100 MHz (using  carrier aggregation</w:t>
            </w:r>
            <w:r>
              <w:rPr>
                <w:rFonts w:cs="Arial"/>
                <w:szCs w:val="20"/>
                <w:lang w:val="en-GB"/>
              </w:rPr>
              <w:t xml:space="preserve"> across bands)</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cs="Arial"/>
                <w:sz w:val="24"/>
                <w:szCs w:val="20"/>
                <w:lang w:val="en-GB" w:eastAsia="fr-FR"/>
              </w:rPr>
            </w:pPr>
            <w:r>
              <w:rPr>
                <w:rFonts w:cs="Arial"/>
                <w:szCs w:val="20"/>
              </w:rPr>
              <w:t xml:space="preserve">3GPP Release 10 </w:t>
            </w:r>
            <w:r>
              <w:rPr>
                <w:rFonts w:cs="Arial"/>
                <w:szCs w:val="20"/>
                <w:lang w:val="en-GB"/>
              </w:rPr>
              <w:t>and beyond</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cs="Arial"/>
                <w:szCs w:val="20"/>
              </w:rPr>
            </w:pPr>
            <w:r>
              <w:rPr>
                <w:rFonts w:cs="Arial"/>
                <w:szCs w:val="20"/>
              </w:rPr>
              <w:t>LTE eMBMS</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rPr>
                <w:rFonts w:cs="Arial"/>
                <w:szCs w:val="20"/>
              </w:rPr>
            </w:pPr>
            <w:r>
              <w:rPr>
                <w:rFonts w:cs="Arial"/>
                <w:szCs w:val="20"/>
              </w:rPr>
              <w:t xml:space="preserve">Up to 20 MHz </w:t>
            </w:r>
          </w:p>
        </w:tc>
        <w:tc>
          <w:tcPr>
            <w:tcW w:w="4111"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cs="Arial"/>
                <w:szCs w:val="20"/>
              </w:rPr>
            </w:pPr>
            <w:r>
              <w:rPr>
                <w:rFonts w:cs="Arial"/>
                <w:szCs w:val="20"/>
              </w:rPr>
              <w:t>3GPP Release 9 and beyond</w:t>
            </w:r>
          </w:p>
        </w:tc>
      </w:tr>
    </w:tbl>
    <w:p w:rsidR="006D1BB1" w:rsidRDefault="006D1BB1" w:rsidP="006D1BB1">
      <w:pPr>
        <w:pStyle w:val="ECCParagraph"/>
        <w:spacing w:before="120" w:after="0"/>
      </w:pPr>
      <w:r>
        <w:t>Note: Mobile broadband technologies are described in details in Annex6.</w:t>
      </w:r>
    </w:p>
    <w:p w:rsidR="006D1BB1" w:rsidRDefault="006D1BB1" w:rsidP="006D1BB1">
      <w:pPr>
        <w:pStyle w:val="ECCParagraph"/>
        <w:spacing w:before="120" w:after="0"/>
      </w:pPr>
    </w:p>
    <w:p w:rsidR="006D1BB1" w:rsidRDefault="006D1BB1" w:rsidP="006D1BB1">
      <w:pPr>
        <w:pStyle w:val="ECCParagraph"/>
      </w:pPr>
      <w:r>
        <w:t xml:space="preserve">A mobile broadband network implementing a Mobile SDL uses a wider channel for the downlink than for the uplink, by bonding the usual downlink of the paired mobile bands (800 MHz, 900 MHz, 1.8 GHz, 2.0 GHz, 2.6 GHz) with a supplemental downlink channel(s) as show in </w:t>
      </w:r>
      <w:r>
        <w:fldChar w:fldCharType="begin"/>
      </w:r>
      <w:r>
        <w:instrText xml:space="preserve"> REF _Ref311007901 \h </w:instrText>
      </w:r>
      <w:r>
        <w:fldChar w:fldCharType="separate"/>
      </w:r>
      <w:r>
        <w:t xml:space="preserve">Figure </w:t>
      </w:r>
      <w:r>
        <w:rPr>
          <w:noProof/>
        </w:rPr>
        <w:t>1</w:t>
      </w:r>
      <w:r>
        <w:fldChar w:fldCharType="end"/>
      </w:r>
      <w:r>
        <w:t>.</w:t>
      </w:r>
    </w:p>
    <w:p w:rsidR="006D1BB1" w:rsidRDefault="006D1BB1" w:rsidP="006D1BB1">
      <w:pPr>
        <w:pStyle w:val="ECCParagraph"/>
      </w:pPr>
      <w:r>
        <w:rPr>
          <w:noProof/>
          <w:lang w:val="fr-FR" w:eastAsia="fr-FR"/>
        </w:rPr>
        <w:drawing>
          <wp:inline distT="0" distB="0" distL="0" distR="0" wp14:anchorId="4809C911" wp14:editId="3A737D86">
            <wp:extent cx="5753100" cy="2886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t="-2196" r="-7474" b="-3275"/>
                    <a:stretch>
                      <a:fillRect/>
                    </a:stretch>
                  </pic:blipFill>
                  <pic:spPr bwMode="auto">
                    <a:xfrm>
                      <a:off x="0" y="0"/>
                      <a:ext cx="5753100" cy="2886075"/>
                    </a:xfrm>
                    <a:prstGeom prst="rect">
                      <a:avLst/>
                    </a:prstGeom>
                    <a:noFill/>
                    <a:ln>
                      <a:noFill/>
                    </a:ln>
                  </pic:spPr>
                </pic:pic>
              </a:graphicData>
            </a:graphic>
          </wp:inline>
        </w:drawing>
      </w:r>
    </w:p>
    <w:p w:rsidR="006D1BB1" w:rsidRDefault="006D1BB1" w:rsidP="006D1BB1">
      <w:pPr>
        <w:pStyle w:val="ECCParagraph"/>
      </w:pPr>
    </w:p>
    <w:p w:rsidR="006D1BB1" w:rsidRDefault="006D1BB1" w:rsidP="007E42E6">
      <w:pPr>
        <w:pStyle w:val="ECCFiguretitle"/>
        <w:rPr>
          <w:rFonts w:ascii="Times New Roman" w:hAnsi="Times New Roman"/>
        </w:rPr>
      </w:pPr>
      <w:r>
        <w:t>A Mobile Supplemental Downlink</w:t>
      </w:r>
    </w:p>
    <w:p w:rsidR="006D1BB1" w:rsidRDefault="006D1BB1" w:rsidP="000F6780">
      <w:pPr>
        <w:pStyle w:val="Titre3"/>
        <w:numPr>
          <w:ilvl w:val="2"/>
          <w:numId w:val="19"/>
        </w:numPr>
      </w:pPr>
      <w:bookmarkStart w:id="36" w:name="_Toc321318110"/>
      <w:bookmarkStart w:id="37" w:name="_Toc322126811"/>
      <w:r>
        <w:lastRenderedPageBreak/>
        <w:t>Justification</w:t>
      </w:r>
      <w:bookmarkEnd w:id="36"/>
      <w:bookmarkEnd w:id="37"/>
    </w:p>
    <w:p w:rsidR="006D1BB1" w:rsidRDefault="006D1BB1" w:rsidP="006D1BB1">
      <w:pPr>
        <w:pStyle w:val="ECCParagraph"/>
        <w:rPr>
          <w:bCs/>
        </w:rPr>
      </w:pPr>
      <w:r>
        <w:t xml:space="preserve">The convergence of several service offerings (internet, broadcasting, and other multimedia based service offerings) on mobile devices, such as smartphones and tablets, is leading to an ever growing asymmetry of the overall mobile data traffic. Measurements in today’s mobile networks clearly confirm the asymmetrical nature of the data traffic with consumers downloading considerably more than they upload data and multimedia content. The current usages of data services on smartphones will be more common than on desktop computers within a few years time. </w:t>
      </w:r>
      <w:r>
        <w:rPr>
          <w:bCs/>
        </w:rPr>
        <w:t>Smartphones and tablets, as well as laptops using dongles will drive usage of video and hence lead to considerable growth of the mobile data traffic.</w:t>
      </w:r>
    </w:p>
    <w:p w:rsidR="006D1BB1" w:rsidRDefault="006D1BB1" w:rsidP="006D1BB1">
      <w:pPr>
        <w:pStyle w:val="ECCParagraph"/>
      </w:pPr>
      <w:r>
        <w:t>A high proportion of this data traffic is already mobile multimedia. Moreover, multimedia is expected to account for a rising proportion of traffic in future. The downlink to uplink ratios seem likely to widen towards 10:1 as the proportion of video traffic in networks grows. The use of the 1452-1492 MHz for Mobile SDL provides additional downlink capacity</w:t>
      </w:r>
      <w:r>
        <w:rPr>
          <w:rFonts w:cs="Arial"/>
          <w:bCs/>
          <w:kern w:val="32"/>
          <w:szCs w:val="32"/>
        </w:rPr>
        <w:t xml:space="preserve"> next to the bands used for mobile applications up to now</w:t>
      </w:r>
      <w:r>
        <w:t>, enables higher user data rates and supports a greater number of users, all of which will enhance the user experience and increase consumers demand for capacity (see Annex 6, figure A6-2 extracted from document FM50(11)019).</w:t>
      </w:r>
    </w:p>
    <w:p w:rsidR="006D1BB1" w:rsidRDefault="006D1BB1" w:rsidP="006D1BB1">
      <w:pPr>
        <w:pStyle w:val="ECCParagraph"/>
      </w:pPr>
      <w:r>
        <w:t>The L-band is within the operational range of the current cellular spectrum used by mobile broadband systems and its implementation will have a marginal</w:t>
      </w:r>
      <w:r>
        <w:rPr>
          <w:rStyle w:val="Appelnotedebasdep"/>
        </w:rPr>
        <w:footnoteReference w:id="6"/>
      </w:r>
      <w:r>
        <w:t xml:space="preserve"> impact on the equipment (base stations, chipsets, devices) design and cost. In addition, the L-band offers favourable propagation properties for coverage allowing consumers in urban, suburban as well as rural areas to cost efficiently access enhanced mobile services.</w:t>
      </w:r>
    </w:p>
    <w:p w:rsidR="006D1BB1" w:rsidRDefault="006D1BB1" w:rsidP="000F6780">
      <w:pPr>
        <w:pStyle w:val="Titre3"/>
        <w:numPr>
          <w:ilvl w:val="2"/>
          <w:numId w:val="19"/>
        </w:numPr>
      </w:pPr>
      <w:bookmarkStart w:id="38" w:name="_Toc321318111"/>
      <w:bookmarkStart w:id="39" w:name="_Toc322126812"/>
      <w:r>
        <w:t>Spectrum requirements</w:t>
      </w:r>
      <w:bookmarkEnd w:id="38"/>
      <w:bookmarkEnd w:id="39"/>
    </w:p>
    <w:p w:rsidR="006D1BB1" w:rsidRDefault="006D1BB1" w:rsidP="006D1BB1">
      <w:pPr>
        <w:pStyle w:val="ECCParagraph"/>
      </w:pPr>
      <w:r>
        <w:t>Users in mobile networks are demanding increasingly higher peak data rates and enhanced quality of service. Operators are deploying next generation networks supporting larger bandwidth, typically 10 MHz, 15 MHz, 20 MHz, etc., to cope with these demands. In this context, and in order to support the requirement for significant increase of data speeds and user experience, access to bandwidths of  10 MHz, 15 MHz or 20 MHz etc. in the band 1452 – 1492 MHz is therefore required to appropriately supplement related deployments in other mobile bands from several mobile operators. In addition, interest of the band 1452 – 1492 MHz for Mobile SDL use by operators is linked to the opportunity of having access to a frequency block of at least 10 MHz for SDL deployments to make network investments justifiable. Notably, a one frequency block of 5 MHz per operator would not be sufficient to support advanced services such as higher definition video based multimedia content.</w:t>
      </w:r>
    </w:p>
    <w:p w:rsidR="006D1BB1" w:rsidRDefault="006D1BB1" w:rsidP="006D1BB1">
      <w:pPr>
        <w:pStyle w:val="ECCParagraph"/>
        <w:spacing w:after="120"/>
      </w:pPr>
      <w:r>
        <w:t xml:space="preserve">Furthermore, the success of a frequency band arrangement depends on the emergence of an eco-system with high equipment market penetration, including both base stations and devices, supporting usages in this band. This requires that the band is harmonised (in order to ensure its availability in a sufficient number of countries) and large enough (in order to accommodate multiple operators, which would through competition trigger growing demands). On the contrary, if the band is not harmonized in full (less than 40 MHz) and only one operator would be able to use the band in a country, then such operator would struggle to find mass market cost efficient equipment. Therefore, the full 40 MHz in the band 1452 - 1492 MHz will accommodate multiple operators and therefore drive economy scale to the benefits of consumers. </w:t>
      </w:r>
    </w:p>
    <w:p w:rsidR="006D1BB1" w:rsidRDefault="006D1BB1" w:rsidP="006D1BB1">
      <w:pPr>
        <w:pStyle w:val="ECCParagraph"/>
      </w:pPr>
      <w:r>
        <w:t xml:space="preserve">Taking into account the need of at least 10 MHz per operator (see above) in a competition environment with several operators able to access the 1.4 GHz band and the requirement for economies of scale, in large bandwidth devices and infrastructure, a harmonised channelling arrangement for Mobile SDL across the whole band 1452 – 1492 MHz is deemed essential. Such a channelling arrangement should be designed for eight frequency blocks of 5 MHz each as usual for mobile bands (with the possibility to aggregate at least two adjacent blocks), subject to LRTC while enabling terrestrial UMTS/LTE SDL deployment i.e. base station to devices communication direction. A firm decision will convey a clear signal to the mobile broadband and broadcasting content industries on the availability of a sufficient harmonised capacity (40 MHz) for economically sustainable business cases in the band 1.4 GHz, still leaving the choice to administrations to potentially accommodate in part of the band any specific national need for other applications. </w:t>
      </w:r>
    </w:p>
    <w:p w:rsidR="006D1BB1" w:rsidRDefault="006D1BB1" w:rsidP="000F6780">
      <w:pPr>
        <w:pStyle w:val="Titre2"/>
        <w:numPr>
          <w:ilvl w:val="1"/>
          <w:numId w:val="19"/>
        </w:numPr>
      </w:pPr>
      <w:bookmarkStart w:id="40" w:name="_Toc322126813"/>
      <w:r>
        <w:lastRenderedPageBreak/>
        <w:t>application four: Satellite DIGITAL AUDIO BROADCASTING (S-DAB)</w:t>
      </w:r>
      <w:bookmarkEnd w:id="40"/>
    </w:p>
    <w:p w:rsidR="006D1BB1" w:rsidRDefault="006D1BB1" w:rsidP="000F6780">
      <w:pPr>
        <w:pStyle w:val="Titre3"/>
        <w:numPr>
          <w:ilvl w:val="2"/>
          <w:numId w:val="19"/>
        </w:numPr>
      </w:pPr>
      <w:bookmarkStart w:id="41" w:name="_Toc321318113"/>
      <w:bookmarkStart w:id="42" w:name="_Toc322126814"/>
      <w:r>
        <w:t>Description</w:t>
      </w:r>
      <w:bookmarkEnd w:id="41"/>
      <w:bookmarkEnd w:id="42"/>
    </w:p>
    <w:p w:rsidR="006D1BB1" w:rsidRDefault="006D1BB1" w:rsidP="006D1BB1">
      <w:pPr>
        <w:pStyle w:val="ECCParagraph"/>
      </w:pPr>
      <w:r>
        <w:t xml:space="preserve">Satellite broadcasting is one of the principal means for access to thousands of radio and TV services by the general public in many countries across the globe. </w:t>
      </w:r>
      <w:r>
        <w:rPr>
          <w:lang w:val="en-US"/>
        </w:rPr>
        <w:t>Satellites play a major role in ensuring complete coverage,. In those cases, such offer complements the basic terrestrial offer, which may not be available everywhere. Alternatively, satellite can also offer new channels that are not available on terrestrial-only networks. As demonstrated by the digitization of TV services, digital satellite can play an important role enabling the deployment of new digital technologies and services.</w:t>
      </w:r>
    </w:p>
    <w:p w:rsidR="006D1BB1" w:rsidRDefault="006D1BB1" w:rsidP="006D1BB1">
      <w:pPr>
        <w:pStyle w:val="ECCParagraph"/>
        <w:spacing w:after="120"/>
      </w:pPr>
      <w:r>
        <w:rPr>
          <w:rFonts w:cs="Arial"/>
        </w:rPr>
        <w:t xml:space="preserve">Where satellites are </w:t>
      </w:r>
      <w:r>
        <w:t>used in combination with complementary terrestrial networks</w:t>
      </w:r>
      <w:r>
        <w:rPr>
          <w:rFonts w:cs="Arial"/>
        </w:rPr>
        <w:t>,</w:t>
      </w:r>
      <w:r>
        <w:t xml:space="preserve"> a “hybrid” system is created. Such a hybrid system consists of the satellite component and its associated terrestrial component(s). The complementary terrestrial networks can be used for the retransmission of content also available on the satellite (for instance to improve the reception quality in areas without line of sight to the satellite, especially important in a mobile environment) and/or to provide access to additional content (eg, local or on-demand content). </w:t>
      </w:r>
    </w:p>
    <w:p w:rsidR="006D1BB1" w:rsidRDefault="006D1BB1" w:rsidP="006D1BB1">
      <w:pPr>
        <w:pStyle w:val="ECCParagraph"/>
        <w:spacing w:after="120"/>
      </w:pPr>
      <w:r>
        <w:t xml:space="preserve">Satellite Digital Audio Broadcasting (S-DAB) is a satellite-enabled system for the digital broadcasting of a wide variety of audio content to fixed and mobile receivers (including portable, handheld and vehicular). S-DAB systems are expected to transport a mix of “subscription-based” and “free-to-air” services. Free-to-air services may be public services or commercial services for a large audience. A basic encryption could still be employed also in the case of free-to-air services in order to ensure copyright protection. </w:t>
      </w:r>
    </w:p>
    <w:p w:rsidR="006D1BB1" w:rsidRDefault="006D1BB1" w:rsidP="006D1BB1">
      <w:pPr>
        <w:pStyle w:val="ECCParagraph"/>
        <w:spacing w:after="120"/>
      </w:pPr>
      <w:r>
        <w:t>Three main modes of S-DAB operation can be distinguished:</w:t>
      </w:r>
    </w:p>
    <w:p w:rsidR="006D1BB1" w:rsidRDefault="006D1BB1" w:rsidP="000F6780">
      <w:pPr>
        <w:pStyle w:val="ECCParBulleted"/>
        <w:numPr>
          <w:ilvl w:val="0"/>
          <w:numId w:val="18"/>
        </w:numPr>
        <w:rPr>
          <w:lang w:eastAsia="de-DE"/>
        </w:rPr>
      </w:pPr>
      <w:r>
        <w:rPr>
          <w:lang w:eastAsia="de-DE"/>
        </w:rPr>
        <w:t>As a standalone satellite component (i.e, without complementary terrestrial component);</w:t>
      </w:r>
    </w:p>
    <w:p w:rsidR="006D1BB1" w:rsidRDefault="006D1BB1" w:rsidP="000F6780">
      <w:pPr>
        <w:pStyle w:val="ECCParBulleted"/>
        <w:numPr>
          <w:ilvl w:val="0"/>
          <w:numId w:val="18"/>
        </w:numPr>
      </w:pPr>
      <w:r>
        <w:rPr>
          <w:lang w:eastAsia="de-DE"/>
        </w:rPr>
        <w:t>As the satellite component of a hybrid solution with complementary terrestrial broadcasting networks operating in the spectrum used by the satellite across CEPT;</w:t>
      </w:r>
    </w:p>
    <w:p w:rsidR="006D1BB1" w:rsidRDefault="006D1BB1" w:rsidP="000F6780">
      <w:pPr>
        <w:pStyle w:val="ECCParBulleted"/>
        <w:numPr>
          <w:ilvl w:val="0"/>
          <w:numId w:val="18"/>
        </w:numPr>
        <w:rPr>
          <w:lang w:eastAsia="de-DE"/>
        </w:rPr>
      </w:pPr>
      <w:r>
        <w:rPr>
          <w:lang w:eastAsia="de-DE"/>
        </w:rPr>
        <w:t>As a standalone satellite component, complementing nationally licensed terrestrial broadcast networks.</w:t>
      </w:r>
    </w:p>
    <w:p w:rsidR="006D1BB1" w:rsidRDefault="006D1BB1" w:rsidP="006D1BB1">
      <w:pPr>
        <w:pStyle w:val="Sansinterligne1"/>
        <w:tabs>
          <w:tab w:val="num" w:pos="284"/>
        </w:tabs>
        <w:spacing w:before="120" w:after="120"/>
        <w:rPr>
          <w:rFonts w:ascii="Arial" w:hAnsi="Arial" w:cs="Arial"/>
          <w:sz w:val="20"/>
          <w:szCs w:val="20"/>
          <w:lang w:val="en-GB"/>
        </w:rPr>
      </w:pPr>
      <w:r>
        <w:rPr>
          <w:rFonts w:ascii="Arial" w:hAnsi="Arial" w:cs="Arial"/>
          <w:sz w:val="20"/>
          <w:szCs w:val="20"/>
          <w:lang w:val="en-GB"/>
        </w:rPr>
        <w:t>The specific mode of operation (and content) may vary from country to country, depending on national regulations and the competitive situation. A hybrid service using the second mode of operation (operating in the 2.3 GHz band) has accumulated over 22 millions of paying subscribers in North America, with annual revenue in excess of 3 billion US dollars. A large proportion of new cars sold in North America is equipped with a satellite radio enabled receiver.</w:t>
      </w:r>
    </w:p>
    <w:p w:rsidR="006D1BB1" w:rsidRDefault="006D1BB1" w:rsidP="006D1BB1">
      <w:pPr>
        <w:pStyle w:val="ECCParagraph"/>
        <w:spacing w:after="120"/>
      </w:pPr>
      <w:r>
        <w:t>The main features of S-DAB services are:</w:t>
      </w:r>
    </w:p>
    <w:p w:rsidR="006D1BB1" w:rsidRDefault="006D1BB1" w:rsidP="000F6780">
      <w:pPr>
        <w:pStyle w:val="ECCParBulleted"/>
        <w:numPr>
          <w:ilvl w:val="0"/>
          <w:numId w:val="18"/>
        </w:numPr>
      </w:pPr>
      <w:r>
        <w:t>Universal availability</w:t>
      </w:r>
    </w:p>
    <w:p w:rsidR="006D1BB1" w:rsidRDefault="006D1BB1" w:rsidP="000F6780">
      <w:pPr>
        <w:pStyle w:val="ECCParBulleted"/>
        <w:numPr>
          <w:ilvl w:val="1"/>
          <w:numId w:val="18"/>
        </w:numPr>
      </w:pPr>
      <w:r>
        <w:t>coverage up to 100% of the territory under line-of-sight conditions</w:t>
      </w:r>
    </w:p>
    <w:p w:rsidR="006D1BB1" w:rsidRDefault="006D1BB1" w:rsidP="000F6780">
      <w:pPr>
        <w:pStyle w:val="ECCParBulleted"/>
        <w:numPr>
          <w:ilvl w:val="1"/>
          <w:numId w:val="18"/>
        </w:numPr>
      </w:pPr>
      <w:r>
        <w:t>support for services for people with disabilities, where required</w:t>
      </w:r>
    </w:p>
    <w:p w:rsidR="006D1BB1" w:rsidRDefault="006D1BB1" w:rsidP="006D1BB1">
      <w:pPr>
        <w:tabs>
          <w:tab w:val="left" w:pos="426"/>
          <w:tab w:val="left" w:pos="1560"/>
        </w:tabs>
      </w:pPr>
    </w:p>
    <w:p w:rsidR="006D1BB1" w:rsidRDefault="006D1BB1" w:rsidP="000F6780">
      <w:pPr>
        <w:pStyle w:val="ECCParBulleted"/>
        <w:numPr>
          <w:ilvl w:val="0"/>
          <w:numId w:val="18"/>
        </w:numPr>
      </w:pPr>
      <w:r>
        <w:t>High QoS</w:t>
      </w:r>
    </w:p>
    <w:p w:rsidR="006D1BB1" w:rsidRDefault="006D1BB1" w:rsidP="000F6780">
      <w:pPr>
        <w:pStyle w:val="ECCParBulleted"/>
        <w:numPr>
          <w:ilvl w:val="1"/>
          <w:numId w:val="18"/>
        </w:numPr>
      </w:pPr>
      <w:r>
        <w:t>predictable and consistent across the whole service area</w:t>
      </w:r>
    </w:p>
    <w:p w:rsidR="006D1BB1" w:rsidRDefault="006D1BB1" w:rsidP="000F6780">
      <w:pPr>
        <w:pStyle w:val="ECCParBulleted"/>
        <w:numPr>
          <w:ilvl w:val="1"/>
          <w:numId w:val="18"/>
        </w:numPr>
      </w:pPr>
      <w:r>
        <w:t>independent of the number of simultaneous viewers and listeners</w:t>
      </w:r>
    </w:p>
    <w:p w:rsidR="006D1BB1" w:rsidRDefault="006D1BB1" w:rsidP="000F6780">
      <w:pPr>
        <w:pStyle w:val="ECCParBulleted"/>
        <w:numPr>
          <w:ilvl w:val="1"/>
          <w:numId w:val="18"/>
        </w:numPr>
      </w:pPr>
      <w:r>
        <w:t>control over QoS and the user experience</w:t>
      </w:r>
    </w:p>
    <w:p w:rsidR="006D1BB1" w:rsidRDefault="006D1BB1" w:rsidP="006D1BB1">
      <w:pPr>
        <w:pStyle w:val="ECCParBulleted"/>
        <w:numPr>
          <w:ilvl w:val="0"/>
          <w:numId w:val="0"/>
        </w:numPr>
        <w:tabs>
          <w:tab w:val="left" w:pos="1304"/>
        </w:tabs>
        <w:jc w:val="left"/>
      </w:pPr>
    </w:p>
    <w:p w:rsidR="006D1BB1" w:rsidRDefault="006D1BB1" w:rsidP="000F6780">
      <w:pPr>
        <w:pStyle w:val="ECCParBulleted"/>
        <w:numPr>
          <w:ilvl w:val="0"/>
          <w:numId w:val="18"/>
        </w:numPr>
      </w:pPr>
      <w:r>
        <w:t>Efficiency</w:t>
      </w:r>
    </w:p>
    <w:p w:rsidR="006D1BB1" w:rsidRDefault="006D1BB1" w:rsidP="000F6780">
      <w:pPr>
        <w:pStyle w:val="ECCParBulleted"/>
        <w:numPr>
          <w:ilvl w:val="1"/>
          <w:numId w:val="18"/>
        </w:numPr>
      </w:pPr>
      <w:r>
        <w:t>spectrally, technically and cost efficient delivery to large audiences</w:t>
      </w:r>
    </w:p>
    <w:p w:rsidR="006D1BB1" w:rsidRDefault="006D1BB1" w:rsidP="006D1BB1">
      <w:pPr>
        <w:pStyle w:val="ECCParBulleted"/>
        <w:numPr>
          <w:ilvl w:val="0"/>
          <w:numId w:val="0"/>
        </w:numPr>
        <w:tabs>
          <w:tab w:val="left" w:pos="1304"/>
        </w:tabs>
      </w:pPr>
    </w:p>
    <w:p w:rsidR="006D1BB1" w:rsidRDefault="006D1BB1" w:rsidP="000F6780">
      <w:pPr>
        <w:pStyle w:val="ECCParBulleted"/>
        <w:numPr>
          <w:ilvl w:val="0"/>
          <w:numId w:val="18"/>
        </w:numPr>
      </w:pPr>
      <w:r>
        <w:t>Flexibility</w:t>
      </w:r>
    </w:p>
    <w:p w:rsidR="006D1BB1" w:rsidRDefault="006D1BB1" w:rsidP="000F6780">
      <w:pPr>
        <w:pStyle w:val="ECCParBulleted"/>
        <w:numPr>
          <w:ilvl w:val="1"/>
          <w:numId w:val="18"/>
        </w:numPr>
      </w:pPr>
      <w:r>
        <w:t>possible delivery to fixed, portable and mobile reception conditions</w:t>
      </w:r>
    </w:p>
    <w:p w:rsidR="006D1BB1" w:rsidRDefault="006D1BB1" w:rsidP="000F6780">
      <w:pPr>
        <w:pStyle w:val="ECCParBulleted"/>
        <w:numPr>
          <w:ilvl w:val="1"/>
          <w:numId w:val="18"/>
        </w:numPr>
      </w:pPr>
      <w:r>
        <w:t>support for free-to-air reception or conditional access, or both</w:t>
      </w:r>
    </w:p>
    <w:p w:rsidR="006D1BB1" w:rsidRDefault="006D1BB1" w:rsidP="000F6780">
      <w:pPr>
        <w:pStyle w:val="ECCParBulleted"/>
        <w:numPr>
          <w:ilvl w:val="1"/>
          <w:numId w:val="18"/>
        </w:numPr>
      </w:pPr>
      <w:r>
        <w:t>supports public service as well as commercial broadcasting model</w:t>
      </w:r>
    </w:p>
    <w:p w:rsidR="006D1BB1" w:rsidRDefault="006D1BB1" w:rsidP="000F6780">
      <w:pPr>
        <w:pStyle w:val="ECCParBulleted"/>
        <w:numPr>
          <w:ilvl w:val="1"/>
          <w:numId w:val="18"/>
        </w:numPr>
      </w:pPr>
      <w:r>
        <w:t>access adapted to the service requirements (international, national and regional)</w:t>
      </w:r>
    </w:p>
    <w:p w:rsidR="006D1BB1" w:rsidRDefault="006D1BB1" w:rsidP="006D1BB1">
      <w:pPr>
        <w:pStyle w:val="ECCParBulleted"/>
        <w:numPr>
          <w:ilvl w:val="0"/>
          <w:numId w:val="0"/>
        </w:numPr>
        <w:tabs>
          <w:tab w:val="left" w:pos="1304"/>
        </w:tabs>
        <w:ind w:left="340"/>
        <w:jc w:val="left"/>
      </w:pPr>
    </w:p>
    <w:p w:rsidR="006D1BB1" w:rsidRDefault="006D1BB1" w:rsidP="000F6780">
      <w:pPr>
        <w:pStyle w:val="ECCParBulleted"/>
        <w:numPr>
          <w:ilvl w:val="0"/>
          <w:numId w:val="18"/>
        </w:numPr>
      </w:pPr>
      <w:r>
        <w:t>Mass-market platform</w:t>
      </w:r>
    </w:p>
    <w:p w:rsidR="006D1BB1" w:rsidRDefault="006D1BB1" w:rsidP="000F6780">
      <w:pPr>
        <w:pStyle w:val="ECCParBulleted"/>
        <w:numPr>
          <w:ilvl w:val="1"/>
          <w:numId w:val="18"/>
        </w:numPr>
      </w:pPr>
      <w:r>
        <w:t xml:space="preserve">widely supported by manufacturers, satellite network operators, broadcasters and regulators </w:t>
      </w:r>
    </w:p>
    <w:p w:rsidR="006D1BB1" w:rsidRDefault="006D1BB1" w:rsidP="006D1BB1">
      <w:pPr>
        <w:pStyle w:val="ECCParBulleted"/>
        <w:numPr>
          <w:ilvl w:val="0"/>
          <w:numId w:val="0"/>
        </w:numPr>
        <w:tabs>
          <w:tab w:val="left" w:pos="1304"/>
        </w:tabs>
        <w:jc w:val="left"/>
      </w:pPr>
    </w:p>
    <w:p w:rsidR="006D1BB1" w:rsidRDefault="006D1BB1" w:rsidP="000F6780">
      <w:pPr>
        <w:pStyle w:val="ECCParBulleted"/>
        <w:numPr>
          <w:ilvl w:val="0"/>
          <w:numId w:val="18"/>
        </w:numPr>
      </w:pPr>
      <w:r>
        <w:t>Competition</w:t>
      </w:r>
    </w:p>
    <w:p w:rsidR="006D1BB1" w:rsidRDefault="006D1BB1" w:rsidP="000F6780">
      <w:pPr>
        <w:pStyle w:val="ECCParBulleted"/>
        <w:numPr>
          <w:ilvl w:val="1"/>
          <w:numId w:val="18"/>
        </w:numPr>
      </w:pPr>
      <w:r>
        <w:lastRenderedPageBreak/>
        <w:t>promotes competition even in those markets that are dominated by other delivery platforms</w:t>
      </w:r>
    </w:p>
    <w:p w:rsidR="006D1BB1" w:rsidRDefault="006D1BB1" w:rsidP="006D1BB1">
      <w:pPr>
        <w:pStyle w:val="ECCParBulleted"/>
        <w:numPr>
          <w:ilvl w:val="0"/>
          <w:numId w:val="0"/>
        </w:numPr>
        <w:tabs>
          <w:tab w:val="left" w:pos="1304"/>
        </w:tabs>
        <w:ind w:left="340" w:hanging="340"/>
        <w:jc w:val="left"/>
      </w:pPr>
    </w:p>
    <w:p w:rsidR="006D1BB1" w:rsidRDefault="006D1BB1" w:rsidP="006D1BB1">
      <w:pPr>
        <w:pStyle w:val="ECCParagraph"/>
      </w:pPr>
      <w:r>
        <w:t>S-DAB networks can be implemented by means of different technologies, in particular the DVB-SH and SDR standards families, as indicated in the table 4 below:</w:t>
      </w:r>
    </w:p>
    <w:p w:rsidR="006D1BB1" w:rsidRDefault="006D1BB1" w:rsidP="007E42E6">
      <w:pPr>
        <w:pStyle w:val="ECCTabletitle"/>
      </w:pPr>
      <w:r>
        <w:t>Examples of satellite broadcasting technologies</w:t>
      </w:r>
    </w:p>
    <w:tbl>
      <w:tblPr>
        <w:tblW w:w="931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233"/>
        <w:gridCol w:w="2974"/>
        <w:gridCol w:w="4108"/>
      </w:tblGrid>
      <w:tr w:rsidR="006D1BB1" w:rsidTr="006D1BB1">
        <w:trPr>
          <w:tblHeader/>
        </w:trPr>
        <w:tc>
          <w:tcPr>
            <w:tcW w:w="2235" w:type="dxa"/>
            <w:tcBorders>
              <w:top w:val="single" w:sz="4" w:space="0" w:color="D2232A"/>
              <w:left w:val="single" w:sz="4" w:space="0" w:color="D2232A"/>
              <w:bottom w:val="single" w:sz="4" w:space="0" w:color="D2232A"/>
              <w:right w:val="single" w:sz="8" w:space="0" w:color="FFFFFF"/>
            </w:tcBorders>
            <w:shd w:val="clear" w:color="auto" w:fill="D2232A"/>
            <w:vAlign w:val="center"/>
            <w:hideMark/>
          </w:tcPr>
          <w:p w:rsidR="006D1BB1" w:rsidRDefault="006D1BB1">
            <w:pPr>
              <w:spacing w:line="288" w:lineRule="auto"/>
              <w:jc w:val="center"/>
              <w:rPr>
                <w:rFonts w:cs="Arial"/>
                <w:b/>
                <w:color w:val="FFFFFF"/>
              </w:rPr>
            </w:pPr>
            <w:r>
              <w:rPr>
                <w:rFonts w:cs="Arial"/>
                <w:b/>
                <w:color w:val="FFFFFF"/>
              </w:rPr>
              <w:t>Technology</w:t>
            </w:r>
          </w:p>
        </w:tc>
        <w:tc>
          <w:tcPr>
            <w:tcW w:w="2976" w:type="dxa"/>
            <w:tcBorders>
              <w:top w:val="single" w:sz="4" w:space="0" w:color="D2232A"/>
              <w:left w:val="single" w:sz="8" w:space="0" w:color="FFFFFF"/>
              <w:bottom w:val="single" w:sz="4" w:space="0" w:color="D2232A"/>
              <w:right w:val="single" w:sz="8" w:space="0" w:color="FFFFFF"/>
            </w:tcBorders>
            <w:shd w:val="clear" w:color="auto" w:fill="D2232A"/>
            <w:vAlign w:val="center"/>
            <w:hideMark/>
          </w:tcPr>
          <w:p w:rsidR="006D1BB1" w:rsidRDefault="006D1BB1">
            <w:pPr>
              <w:spacing w:line="288" w:lineRule="auto"/>
              <w:jc w:val="center"/>
              <w:rPr>
                <w:b/>
                <w:color w:val="FFFFFF"/>
              </w:rPr>
            </w:pPr>
            <w:r>
              <w:rPr>
                <w:b/>
                <w:color w:val="FFFFFF"/>
              </w:rPr>
              <w:t>Supported block/channel bandwidth</w:t>
            </w:r>
          </w:p>
        </w:tc>
        <w:tc>
          <w:tcPr>
            <w:tcW w:w="4111"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6D1BB1" w:rsidRDefault="006D1BB1">
            <w:pPr>
              <w:spacing w:line="288" w:lineRule="auto"/>
              <w:jc w:val="center"/>
              <w:rPr>
                <w:b/>
                <w:color w:val="FFFFFF"/>
              </w:rPr>
            </w:pPr>
            <w:r>
              <w:rPr>
                <w:b/>
                <w:color w:val="FFFFFF"/>
              </w:rPr>
              <w:t>Related Standards</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spacing w:before="40" w:after="40"/>
              <w:rPr>
                <w:rFonts w:ascii="Times New Roman" w:hAnsi="Times New Roman"/>
                <w:sz w:val="24"/>
                <w:lang w:val="en-GB" w:eastAsia="fr-FR"/>
              </w:rPr>
            </w:pPr>
            <w:r>
              <w:t>SDR</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 12.5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spacing w:before="40" w:after="40"/>
              <w:ind w:left="175"/>
              <w:rPr>
                <w:rFonts w:ascii="Times New Roman" w:hAnsi="Times New Roman"/>
                <w:sz w:val="24"/>
                <w:lang w:val="fi-FI" w:eastAsia="en-GB"/>
              </w:rPr>
            </w:pPr>
            <w:r>
              <w:rPr>
                <w:lang w:val="fi-FI" w:eastAsia="en-GB"/>
              </w:rPr>
              <w:t>ETSI - TR 102 525</w:t>
            </w:r>
          </w:p>
          <w:p w:rsidR="006D1BB1" w:rsidRDefault="006D1BB1">
            <w:pPr>
              <w:spacing w:before="40" w:after="40"/>
              <w:ind w:left="175"/>
              <w:rPr>
                <w:rFonts w:ascii="Times New Roman" w:hAnsi="Times New Roman"/>
                <w:sz w:val="24"/>
                <w:lang w:val="fi-FI" w:eastAsia="en-GB"/>
              </w:rPr>
            </w:pPr>
            <w:r>
              <w:rPr>
                <w:lang w:val="fi-FI" w:eastAsia="en-GB"/>
              </w:rPr>
              <w:t>ETSI - TR 102 604</w:t>
            </w:r>
          </w:p>
          <w:p w:rsidR="006D1BB1" w:rsidRDefault="006D1BB1">
            <w:pPr>
              <w:spacing w:before="40" w:after="40"/>
              <w:ind w:left="175"/>
              <w:rPr>
                <w:lang w:val="fi-FI" w:eastAsia="en-GB"/>
              </w:rPr>
            </w:pPr>
            <w:r>
              <w:rPr>
                <w:lang w:val="fi-FI" w:eastAsia="en-GB"/>
              </w:rPr>
              <w:t>ETSI - TS 302 550-1-1</w:t>
            </w:r>
          </w:p>
          <w:p w:rsidR="006D1BB1" w:rsidRDefault="006D1BB1">
            <w:pPr>
              <w:autoSpaceDE w:val="0"/>
              <w:autoSpaceDN w:val="0"/>
              <w:adjustRightInd w:val="0"/>
              <w:ind w:left="175"/>
              <w:rPr>
                <w:lang w:val="fr-CH" w:eastAsia="en-GB"/>
              </w:rPr>
            </w:pPr>
            <w:r>
              <w:rPr>
                <w:lang w:val="fr-CH" w:eastAsia="en-GB"/>
              </w:rPr>
              <w:t>ETSI - TS 302 55</w:t>
            </w:r>
            <w:r>
              <w:rPr>
                <w:lang w:val="fr-FR" w:eastAsia="en-GB"/>
              </w:rPr>
              <w:t>0-</w:t>
            </w:r>
            <w:r>
              <w:rPr>
                <w:lang w:val="fr-CH" w:eastAsia="en-GB"/>
              </w:rPr>
              <w:t>1-2</w:t>
            </w:r>
          </w:p>
          <w:p w:rsidR="006D1BB1" w:rsidRDefault="006D1BB1">
            <w:pPr>
              <w:autoSpaceDE w:val="0"/>
              <w:autoSpaceDN w:val="0"/>
              <w:adjustRightInd w:val="0"/>
              <w:ind w:left="175"/>
              <w:rPr>
                <w:rFonts w:ascii="Times New Roman" w:hAnsi="Times New Roman"/>
                <w:sz w:val="24"/>
                <w:lang w:val="fr-FR" w:eastAsia="en-GB"/>
              </w:rPr>
            </w:pPr>
            <w:r>
              <w:rPr>
                <w:lang w:eastAsia="en-GB"/>
              </w:rPr>
              <w:t>ETSI - TS 302 55</w:t>
            </w:r>
            <w:r>
              <w:rPr>
                <w:lang w:val="fr-FR" w:eastAsia="en-GB"/>
              </w:rPr>
              <w:t>0-1-3</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DVB-SH</w:t>
            </w:r>
          </w:p>
        </w:tc>
        <w:tc>
          <w:tcPr>
            <w:tcW w:w="2976" w:type="dxa"/>
            <w:tcBorders>
              <w:top w:val="single" w:sz="4" w:space="0" w:color="D2232A"/>
              <w:left w:val="single" w:sz="4" w:space="0" w:color="D2232A"/>
              <w:bottom w:val="single" w:sz="4" w:space="0" w:color="D2232A"/>
              <w:right w:val="single" w:sz="4" w:space="0" w:color="D2232A"/>
            </w:tcBorders>
            <w:vAlign w:val="center"/>
            <w:hideMark/>
          </w:tcPr>
          <w:p w:rsidR="006D1BB1" w:rsidRDefault="006D1BB1">
            <w:pPr>
              <w:rPr>
                <w:rFonts w:ascii="Times New Roman" w:hAnsi="Times New Roman"/>
                <w:sz w:val="24"/>
                <w:lang w:val="en-GB" w:eastAsia="fr-FR"/>
              </w:rPr>
            </w:pPr>
            <w:r>
              <w:t>1.7, 5, 6, 7 and 8 MHz</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ind w:left="175"/>
              <w:rPr>
                <w:rFonts w:ascii="Times New Roman" w:hAnsi="Times New Roman"/>
                <w:sz w:val="24"/>
                <w:lang w:val="fr-CH" w:eastAsia="fr-FR"/>
              </w:rPr>
            </w:pPr>
            <w:r>
              <w:rPr>
                <w:lang w:val="fr-CH"/>
              </w:rPr>
              <w:t>ETSI – EN 302 583</w:t>
            </w:r>
          </w:p>
          <w:p w:rsidR="006D1BB1" w:rsidRDefault="006D1BB1">
            <w:pPr>
              <w:autoSpaceDE w:val="0"/>
              <w:autoSpaceDN w:val="0"/>
              <w:adjustRightInd w:val="0"/>
              <w:ind w:left="175"/>
              <w:rPr>
                <w:lang w:val="fr-CH"/>
              </w:rPr>
            </w:pPr>
            <w:r>
              <w:rPr>
                <w:lang w:val="fr-CH"/>
              </w:rPr>
              <w:t>ETSI – TS 102 594</w:t>
            </w:r>
          </w:p>
          <w:p w:rsidR="006D1BB1" w:rsidRDefault="006D1BB1">
            <w:pPr>
              <w:autoSpaceDE w:val="0"/>
              <w:autoSpaceDN w:val="0"/>
              <w:adjustRightInd w:val="0"/>
              <w:ind w:left="175"/>
              <w:rPr>
                <w:rFonts w:ascii="Times New Roman" w:hAnsi="Times New Roman"/>
                <w:sz w:val="24"/>
                <w:lang w:val="fr-CH" w:eastAsia="fr-FR"/>
              </w:rPr>
            </w:pPr>
            <w:r>
              <w:rPr>
                <w:lang w:val="fr-CH" w:eastAsia="en-GB"/>
              </w:rPr>
              <w:t>ETSI – TR 102 377</w:t>
            </w:r>
          </w:p>
        </w:tc>
      </w:tr>
    </w:tbl>
    <w:p w:rsidR="006D1BB1" w:rsidRDefault="006D1BB1" w:rsidP="006D1BB1">
      <w:pPr>
        <w:rPr>
          <w:i/>
          <w:lang w:val="fr-CH"/>
        </w:rPr>
      </w:pPr>
    </w:p>
    <w:p w:rsidR="006D1BB1" w:rsidRDefault="006D1BB1" w:rsidP="006D1BB1">
      <w:r>
        <w:t>Further information about satellite broadcasting standards can be found in Annex 5.</w:t>
      </w:r>
    </w:p>
    <w:p w:rsidR="006D1BB1" w:rsidRDefault="006D1BB1" w:rsidP="000F6780">
      <w:pPr>
        <w:pStyle w:val="Titre3"/>
        <w:numPr>
          <w:ilvl w:val="2"/>
          <w:numId w:val="19"/>
        </w:numPr>
      </w:pPr>
      <w:bookmarkStart w:id="43" w:name="_Toc321318114"/>
      <w:bookmarkStart w:id="44" w:name="_Toc322126815"/>
      <w:r>
        <w:t>Justification</w:t>
      </w:r>
      <w:bookmarkEnd w:id="43"/>
      <w:bookmarkEnd w:id="44"/>
    </w:p>
    <w:p w:rsidR="006D1BB1" w:rsidRDefault="006D1BB1" w:rsidP="006D1BB1">
      <w:pPr>
        <w:autoSpaceDE w:val="0"/>
        <w:autoSpaceDN w:val="0"/>
        <w:adjustRightInd w:val="0"/>
        <w:spacing w:after="240"/>
        <w:jc w:val="both"/>
        <w:rPr>
          <w:rFonts w:cs="Arial"/>
          <w:color w:val="000000"/>
          <w:szCs w:val="20"/>
        </w:rPr>
      </w:pPr>
      <w:bookmarkStart w:id="45" w:name="_Toc313548327"/>
      <w:r>
        <w:rPr>
          <w:rFonts w:cs="Arial"/>
          <w:color w:val="000000"/>
          <w:szCs w:val="20"/>
        </w:rPr>
        <w:t>With demand for digital audio broadcasting services growing in many countries in CEPT, satellites can play a role in extending coverage and population reach of existing and new audio content. S-DAB could thus provide digital audio broadcasting solutions not only in countries where L-Band is important because of lack of alternative spectrum, but also as an enabler of new and innovative audio content offers.</w:t>
      </w:r>
    </w:p>
    <w:p w:rsidR="006D1BB1" w:rsidRDefault="006D1BB1" w:rsidP="006D1BB1">
      <w:pPr>
        <w:pStyle w:val="ECCParagraph"/>
      </w:pPr>
      <w:r>
        <w:t>Demand has been expressed for the deployment of feature-rich free-to-air and subscription-based radio services. Implementation in Europe would require taking into account the variety of languages, cultural specificities and different coverage that compose the European countries. In this respect, the L band is adequate to complement the deployment of national, independent subscription radio services. For instance, the existing regulation offers an option for any country to deploy subscription services according to individual needs, if and when required. This, in turn, would provide scope for further economies of scale through a harmonised use in Europe and for integration with other services (notably with free-to-air radio).</w:t>
      </w:r>
    </w:p>
    <w:p w:rsidR="006D1BB1" w:rsidRDefault="006D1BB1" w:rsidP="006D1BB1">
      <w:pPr>
        <w:pStyle w:val="ECCParagraph"/>
      </w:pPr>
      <w:r>
        <w:t>Furthermore, there is a growing market demand for non-linear broadcasting services (e.g. time-shifted, personalized, on-demand, interactive and second screen services). L-Band is well suited for the provision of such non-linear services. The L-band offers an opportunity for implementation of such innovative approaches.</w:t>
      </w:r>
    </w:p>
    <w:p w:rsidR="006D1BB1" w:rsidRDefault="006D1BB1" w:rsidP="006D1BB1">
      <w:pPr>
        <w:pStyle w:val="ECCParagraph"/>
      </w:pPr>
      <w:r>
        <w:t xml:space="preserve">The success of a frequency band depends on the emergence of an eco-system, i.e. on a significant terminal market supporting the band. Such a market usually occurs when a band is harmonised on a large basis and when sufficient operators and service providers have deployed networks and are offering affordable and attractive content and services in a band. At the opposite, if only few operators are using a specific technology or frequency band within CEPT, they may struggle to get affordable access to equipment. </w:t>
      </w:r>
    </w:p>
    <w:p w:rsidR="006D1BB1" w:rsidRDefault="006D1BB1" w:rsidP="006D1BB1">
      <w:pPr>
        <w:spacing w:after="240"/>
        <w:rPr>
          <w:lang w:val="en-GB"/>
        </w:rPr>
      </w:pPr>
      <w:r>
        <w:rPr>
          <w:lang w:val="en-GB"/>
        </w:rPr>
        <w:t xml:space="preserve">SDR chipsets for the L-Band are already available, which could have a positive impact on the equipment design for S-DAB.  </w:t>
      </w:r>
    </w:p>
    <w:p w:rsidR="006D1BB1" w:rsidRDefault="006D1BB1" w:rsidP="006D1BB1">
      <w:pPr>
        <w:spacing w:after="240"/>
        <w:rPr>
          <w:rFonts w:cs="Arial"/>
          <w:szCs w:val="20"/>
          <w:lang w:val="en-GB" w:eastAsia="de-DE"/>
        </w:rPr>
      </w:pPr>
      <w:r>
        <w:rPr>
          <w:lang w:val="en-GB"/>
        </w:rPr>
        <w:t>Furthermore, the propagation characteristics of the L-band are favourable for S-DAB.</w:t>
      </w:r>
    </w:p>
    <w:p w:rsidR="006D1BB1" w:rsidRDefault="006D1BB1" w:rsidP="000F6780">
      <w:pPr>
        <w:pStyle w:val="Titre3"/>
        <w:numPr>
          <w:ilvl w:val="2"/>
          <w:numId w:val="19"/>
        </w:numPr>
      </w:pPr>
      <w:bookmarkStart w:id="46" w:name="_Toc321318115"/>
      <w:bookmarkStart w:id="47" w:name="_Toc322126816"/>
      <w:bookmarkEnd w:id="45"/>
      <w:r>
        <w:t>Spectrum requirements</w:t>
      </w:r>
      <w:bookmarkEnd w:id="46"/>
      <w:bookmarkEnd w:id="47"/>
    </w:p>
    <w:p w:rsidR="006D1BB1" w:rsidRDefault="006D1BB1" w:rsidP="006D1BB1">
      <w:pPr>
        <w:pStyle w:val="ECCParagraph"/>
        <w:rPr>
          <w:lang w:eastAsia="de-DE"/>
        </w:rPr>
      </w:pPr>
      <w:r>
        <w:rPr>
          <w:lang w:eastAsia="de-DE"/>
        </w:rPr>
        <w:t xml:space="preserve">The spectrum requirements are primarily determined by the number of audio channels that are needed to create attractive content packages for different markets. Operations in the US, as well as </w:t>
      </w:r>
      <w:r>
        <w:rPr>
          <w:lang w:eastAsia="de-DE"/>
        </w:rPr>
        <w:lastRenderedPageBreak/>
        <w:t xml:space="preserve">comparable pay-TV benchmarks indicate that a minimum of about 50 - 60 channels is required per key national market in order to create a sufficiently diverse package. Taking into account different markets in Europe, the restrictions imposed by ITU Resolution 528 with respect to S-DAB in the band 1452 – 1492 (effectively limiting S-DAB to the upper 25 MHz anywhere in the world, which would impact satellite transmissions in the direction of non-CEPT countries), and the ability to respond in a flexible manner to spectrum uses across CEPT, a harmonised channelling arrangement enabling S-DAB across the upper 25 MHz of the band 1452 – 1492 MHz is deemed essential. Technologies to be used for </w:t>
      </w:r>
      <w:r>
        <w:t xml:space="preserve">S-DAB are flexible enough to cope with existing or new harmonized band plans. </w:t>
      </w:r>
      <w:r>
        <w:rPr>
          <w:lang w:eastAsia="de-DE"/>
        </w:rPr>
        <w:t>The L-Band 1452 – 1492 MHz is the only frequency band below 3 GHz allocated to the broadcasting satellite service.</w:t>
      </w:r>
    </w:p>
    <w:p w:rsidR="006D1BB1" w:rsidRDefault="006D1BB1" w:rsidP="006D1BB1">
      <w:pPr>
        <w:pStyle w:val="ECCParagraph"/>
        <w:shd w:val="clear" w:color="auto" w:fill="FFFF00"/>
        <w:rPr>
          <w:lang w:eastAsia="de-DE"/>
        </w:rPr>
      </w:pPr>
      <w:r>
        <w:rPr>
          <w:lang w:eastAsia="de-DE"/>
        </w:rPr>
        <w:t xml:space="preserve">[The use of L-Band for S-DAB does not imply or require the exclusive allocation of a sub-band for S-DAB only. Indeed, even in the presence of a satellite signal in the band, national administrations may decide, in their national discretion, to authorize other applications in the same frequency band within their national territory. This assessment is subject to the results of compatibility studies. </w:t>
      </w:r>
      <w:r>
        <w:rPr>
          <w:lang w:eastAsia="de-DE"/>
        </w:rPr>
        <w:br/>
        <w:t>[</w:t>
      </w:r>
      <w:r>
        <w:rPr>
          <w:i/>
          <w:lang w:eastAsia="de-DE"/>
        </w:rPr>
        <w:t>Editorial note: This paragraph should be moved to chapter 4]</w:t>
      </w:r>
    </w:p>
    <w:p w:rsidR="006D1BB1" w:rsidRDefault="006D1BB1" w:rsidP="000F6780">
      <w:pPr>
        <w:pStyle w:val="Titre2"/>
        <w:numPr>
          <w:ilvl w:val="1"/>
          <w:numId w:val="19"/>
        </w:numPr>
      </w:pPr>
      <w:bookmarkStart w:id="48" w:name="_Toc322126817"/>
      <w:r>
        <w:t>Application five: Programme Making and Special Events (PMSE)</w:t>
      </w:r>
      <w:bookmarkEnd w:id="48"/>
    </w:p>
    <w:p w:rsidR="006D1BB1" w:rsidRDefault="006D1BB1" w:rsidP="006D1BB1">
      <w:pPr>
        <w:spacing w:line="276" w:lineRule="auto"/>
        <w:rPr>
          <w:rFonts w:cs="Arial"/>
          <w:b/>
          <w:szCs w:val="20"/>
          <w:lang w:val="en-GB"/>
        </w:rPr>
      </w:pPr>
      <w:r>
        <w:rPr>
          <w:rFonts w:cs="Arial"/>
          <w:b/>
          <w:szCs w:val="20"/>
          <w:lang w:val="en-GB"/>
        </w:rPr>
        <w:t>3.5.1</w:t>
      </w:r>
      <w:r>
        <w:rPr>
          <w:rFonts w:cs="Arial"/>
          <w:b/>
          <w:szCs w:val="20"/>
          <w:lang w:val="en-GB"/>
        </w:rPr>
        <w:tab/>
        <w:t>Description</w:t>
      </w:r>
    </w:p>
    <w:p w:rsidR="006D1BB1" w:rsidRDefault="006D1BB1" w:rsidP="006D1BB1">
      <w:pPr>
        <w:spacing w:before="120" w:line="276" w:lineRule="auto"/>
        <w:rPr>
          <w:rFonts w:cs="Arial"/>
          <w:szCs w:val="20"/>
          <w:lang w:val="en-GB"/>
        </w:rPr>
      </w:pPr>
      <w:r>
        <w:rPr>
          <w:rFonts w:cs="Arial"/>
          <w:szCs w:val="20"/>
          <w:lang w:val="en-GB"/>
        </w:rPr>
        <w:t>The term Programme Making</w:t>
      </w:r>
      <w:r>
        <w:rPr>
          <w:rFonts w:cs="Arial"/>
          <w:szCs w:val="20"/>
          <w:vertAlign w:val="superscript"/>
          <w:lang w:val="en-GB"/>
        </w:rPr>
        <w:footnoteReference w:id="7"/>
      </w:r>
      <w:r>
        <w:rPr>
          <w:rFonts w:cs="Arial"/>
          <w:szCs w:val="20"/>
          <w:lang w:val="en-GB"/>
        </w:rPr>
        <w:t xml:space="preserve"> and Special Events</w:t>
      </w:r>
      <w:r>
        <w:rPr>
          <w:rFonts w:cs="Arial"/>
          <w:szCs w:val="20"/>
          <w:vertAlign w:val="superscript"/>
          <w:lang w:val="en-GB"/>
        </w:rPr>
        <w:footnoteReference w:id="8"/>
      </w:r>
      <w:r>
        <w:rPr>
          <w:rFonts w:cs="Arial"/>
          <w:szCs w:val="20"/>
          <w:lang w:val="en-GB"/>
        </w:rPr>
        <w:t xml:space="preserve"> applications (PMSE) is a widespread term gathering various radio applications used for SAP/SAB, ENG, SNG, OB in public or private events for perceived real-time presentation of audiovisual information. The communication links are also used in the production of programmes, such as talk-back or personal monitoring of sound-track.</w:t>
      </w:r>
    </w:p>
    <w:p w:rsidR="006D1BB1" w:rsidRDefault="006D1BB1" w:rsidP="006D1BB1">
      <w:pPr>
        <w:pStyle w:val="ECCParagraph"/>
        <w:spacing w:before="120" w:line="276" w:lineRule="auto"/>
        <w:rPr>
          <w:rFonts w:cs="Arial"/>
          <w:szCs w:val="20"/>
        </w:rPr>
      </w:pPr>
      <w:r>
        <w:rPr>
          <w:rFonts w:cs="Arial"/>
          <w:szCs w:val="20"/>
        </w:rPr>
        <w:t>The definitions of SAP/SAB and ENG/OB are set out</w:t>
      </w:r>
      <w:r>
        <w:rPr>
          <w:rStyle w:val="Appelnotedebasdep"/>
          <w:rFonts w:cs="Arial"/>
          <w:szCs w:val="20"/>
        </w:rPr>
        <w:footnoteReference w:id="9"/>
      </w:r>
      <w:r>
        <w:rPr>
          <w:rFonts w:cs="Arial"/>
          <w:szCs w:val="20"/>
        </w:rPr>
        <w:t xml:space="preserve"> as follows:</w:t>
      </w:r>
    </w:p>
    <w:p w:rsidR="006D1BB1" w:rsidRDefault="006D1BB1" w:rsidP="006D1BB1">
      <w:pPr>
        <w:autoSpaceDE w:val="0"/>
        <w:autoSpaceDN w:val="0"/>
        <w:adjustRightInd w:val="0"/>
        <w:spacing w:before="120" w:line="276" w:lineRule="auto"/>
        <w:ind w:left="709" w:hanging="709"/>
        <w:rPr>
          <w:rFonts w:cs="Arial"/>
          <w:szCs w:val="20"/>
          <w:lang w:val="en-GB"/>
        </w:rPr>
      </w:pPr>
      <w:r>
        <w:rPr>
          <w:rFonts w:cs="Arial"/>
          <w:b/>
          <w:bCs/>
          <w:szCs w:val="20"/>
          <w:lang w:val="en-GB"/>
        </w:rPr>
        <w:t>SAP:</w:t>
      </w:r>
      <w:r>
        <w:rPr>
          <w:rFonts w:cs="Arial"/>
          <w:b/>
          <w:bCs/>
          <w:szCs w:val="20"/>
          <w:lang w:val="en-GB"/>
        </w:rPr>
        <w:tab/>
      </w:r>
      <w:r>
        <w:rPr>
          <w:rFonts w:cs="Arial"/>
          <w:szCs w:val="20"/>
          <w:lang w:val="en-GB"/>
        </w:rPr>
        <w:t>Services Ancillary to Program making (SAP) support the activities carried out in the making of “program”, such as film making, advertisements, corporate videos, concerts, theatre and similar activities not initially meant for broadcasting to general public.</w:t>
      </w:r>
    </w:p>
    <w:p w:rsidR="006D1BB1" w:rsidRDefault="006D1BB1" w:rsidP="006D1BB1">
      <w:pPr>
        <w:autoSpaceDE w:val="0"/>
        <w:autoSpaceDN w:val="0"/>
        <w:adjustRightInd w:val="0"/>
        <w:spacing w:before="120" w:line="276" w:lineRule="auto"/>
        <w:ind w:left="709" w:hanging="709"/>
        <w:rPr>
          <w:rFonts w:cs="Arial"/>
          <w:szCs w:val="20"/>
          <w:lang w:val="en-GB"/>
        </w:rPr>
      </w:pPr>
      <w:r>
        <w:rPr>
          <w:rFonts w:cs="Arial"/>
          <w:b/>
          <w:bCs/>
          <w:szCs w:val="20"/>
          <w:lang w:val="en-GB"/>
        </w:rPr>
        <w:t>SAB:</w:t>
      </w:r>
      <w:r>
        <w:rPr>
          <w:rFonts w:cs="Arial"/>
          <w:b/>
          <w:bCs/>
          <w:szCs w:val="20"/>
          <w:lang w:val="en-GB"/>
        </w:rPr>
        <w:tab/>
      </w:r>
      <w:r>
        <w:rPr>
          <w:rFonts w:cs="Arial"/>
          <w:szCs w:val="20"/>
          <w:lang w:val="en-GB"/>
        </w:rPr>
        <w:t>Services Ancillary to Broadcasting (SAB) support the activities of broadcasting industry carried out in the production of their program material.</w:t>
      </w:r>
    </w:p>
    <w:p w:rsidR="006D1BB1" w:rsidRDefault="006D1BB1" w:rsidP="006D1BB1">
      <w:pPr>
        <w:spacing w:before="120" w:line="276" w:lineRule="auto"/>
        <w:ind w:left="709" w:hanging="709"/>
        <w:rPr>
          <w:rFonts w:cs="Arial"/>
          <w:szCs w:val="20"/>
          <w:lang w:val="en-GB"/>
        </w:rPr>
      </w:pPr>
      <w:r>
        <w:rPr>
          <w:rFonts w:cs="Arial"/>
          <w:b/>
          <w:szCs w:val="20"/>
          <w:lang w:val="en-GB"/>
        </w:rPr>
        <w:t>ENG:</w:t>
      </w:r>
      <w:r>
        <w:rPr>
          <w:rFonts w:cs="Arial"/>
          <w:szCs w:val="20"/>
          <w:lang w:val="en-GB"/>
        </w:rPr>
        <w:tab/>
        <w:t>Electronic News Gathering (ENG) is the collection of video and/or sound material by means of small, often hand-held wireless cameras and/or microphones with radio links to the news room and/or to the portable tape or other recorders.</w:t>
      </w:r>
    </w:p>
    <w:p w:rsidR="006D1BB1" w:rsidRDefault="006D1BB1" w:rsidP="006D1BB1">
      <w:pPr>
        <w:spacing w:before="120" w:line="276" w:lineRule="auto"/>
        <w:ind w:left="709" w:hanging="709"/>
        <w:rPr>
          <w:rFonts w:cs="Arial"/>
          <w:szCs w:val="20"/>
          <w:lang w:val="en-GB"/>
        </w:rPr>
      </w:pPr>
      <w:r>
        <w:rPr>
          <w:rFonts w:cs="Arial"/>
          <w:b/>
          <w:bCs/>
          <w:szCs w:val="20"/>
          <w:lang w:val="en-GB"/>
        </w:rPr>
        <w:t>SNG:</w:t>
      </w:r>
      <w:r>
        <w:rPr>
          <w:rFonts w:cs="Arial"/>
          <w:b/>
          <w:bCs/>
          <w:szCs w:val="20"/>
          <w:lang w:val="en-GB"/>
        </w:rPr>
        <w:tab/>
      </w:r>
      <w:r>
        <w:rPr>
          <w:rFonts w:cs="Arial"/>
          <w:szCs w:val="20"/>
          <w:lang w:val="en-GB"/>
        </w:rPr>
        <w:t>Satellite News Gathering (SNG) are applications similar to ENG using satellite radio communication channels.</w:t>
      </w:r>
    </w:p>
    <w:p w:rsidR="006D1BB1" w:rsidRDefault="006D1BB1" w:rsidP="006D1BB1">
      <w:pPr>
        <w:autoSpaceDE w:val="0"/>
        <w:autoSpaceDN w:val="0"/>
        <w:adjustRightInd w:val="0"/>
        <w:spacing w:before="120" w:line="276" w:lineRule="auto"/>
        <w:ind w:left="709" w:hanging="709"/>
        <w:rPr>
          <w:rFonts w:cs="Arial"/>
          <w:szCs w:val="20"/>
          <w:lang w:val="en-GB"/>
        </w:rPr>
      </w:pPr>
      <w:r>
        <w:rPr>
          <w:rFonts w:cs="Arial"/>
          <w:b/>
          <w:szCs w:val="20"/>
          <w:lang w:val="en-GB"/>
        </w:rPr>
        <w:t>OB:</w:t>
      </w:r>
      <w:r>
        <w:rPr>
          <w:rFonts w:cs="Arial"/>
          <w:szCs w:val="20"/>
          <w:lang w:val="en-GB"/>
        </w:rPr>
        <w:tab/>
        <w:t>Outside broadcasting (OB) is the temporary provision of programme making facilities at the location of on-going news, sport or other events, lasting from a few hours to several weeks. Mobile and/or portable radio links are required for wireless cameras or microphones at the OB location. Additionally, radio links may be required for temporary point to point connections between the OB vehicle, additional locations around it, and the studio.</w:t>
      </w:r>
    </w:p>
    <w:p w:rsidR="006D1BB1" w:rsidRDefault="006D1BB1" w:rsidP="006D1BB1">
      <w:pPr>
        <w:spacing w:line="276" w:lineRule="auto"/>
        <w:rPr>
          <w:rFonts w:cs="Arial"/>
          <w:szCs w:val="20"/>
          <w:highlight w:val="magenta"/>
          <w:lang w:val="en-GB"/>
        </w:rPr>
      </w:pPr>
    </w:p>
    <w:p w:rsidR="006D1BB1" w:rsidRDefault="006D1BB1" w:rsidP="007E42E6">
      <w:pPr>
        <w:pStyle w:val="ECCTabletitle"/>
      </w:pPr>
      <w:r>
        <w:t>Technical terms of audio transmission systems that are part of PMSE</w:t>
      </w:r>
    </w:p>
    <w:tbl>
      <w:tblPr>
        <w:tblW w:w="931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233"/>
        <w:gridCol w:w="2974"/>
        <w:gridCol w:w="4108"/>
      </w:tblGrid>
      <w:tr w:rsidR="006D1BB1" w:rsidTr="006D1BB1">
        <w:trPr>
          <w:tblHeader/>
        </w:trPr>
        <w:tc>
          <w:tcPr>
            <w:tcW w:w="2235" w:type="dxa"/>
            <w:tcBorders>
              <w:top w:val="single" w:sz="4" w:space="0" w:color="D2232A"/>
              <w:left w:val="single" w:sz="4" w:space="0" w:color="D2232A"/>
              <w:bottom w:val="single" w:sz="4" w:space="0" w:color="D2232A"/>
              <w:right w:val="single" w:sz="8" w:space="0" w:color="FFFFFF"/>
            </w:tcBorders>
            <w:shd w:val="clear" w:color="auto" w:fill="D2232A"/>
            <w:vAlign w:val="center"/>
            <w:hideMark/>
          </w:tcPr>
          <w:p w:rsidR="006D1BB1" w:rsidRDefault="006D1BB1">
            <w:pPr>
              <w:spacing w:line="288" w:lineRule="auto"/>
              <w:jc w:val="center"/>
              <w:rPr>
                <w:rFonts w:cs="Arial"/>
                <w:b/>
                <w:color w:val="FFFFFF"/>
              </w:rPr>
            </w:pPr>
            <w:r>
              <w:rPr>
                <w:rFonts w:cs="Arial"/>
                <w:b/>
                <w:color w:val="FFFFFF"/>
              </w:rPr>
              <w:t>Application</w:t>
            </w:r>
          </w:p>
        </w:tc>
        <w:tc>
          <w:tcPr>
            <w:tcW w:w="2976" w:type="dxa"/>
            <w:tcBorders>
              <w:top w:val="single" w:sz="4" w:space="0" w:color="D2232A"/>
              <w:left w:val="single" w:sz="8" w:space="0" w:color="FFFFFF"/>
              <w:bottom w:val="single" w:sz="4" w:space="0" w:color="D2232A"/>
              <w:right w:val="single" w:sz="8" w:space="0" w:color="FFFFFF"/>
            </w:tcBorders>
            <w:shd w:val="clear" w:color="auto" w:fill="D2232A"/>
            <w:vAlign w:val="center"/>
            <w:hideMark/>
          </w:tcPr>
          <w:p w:rsidR="006D1BB1" w:rsidRDefault="006D1BB1">
            <w:pPr>
              <w:spacing w:line="288" w:lineRule="auto"/>
              <w:jc w:val="center"/>
              <w:rPr>
                <w:b/>
                <w:color w:val="FFFFFF"/>
              </w:rPr>
            </w:pPr>
            <w:r>
              <w:rPr>
                <w:b/>
                <w:color w:val="FFFFFF"/>
              </w:rPr>
              <w:t>Max bandwidth</w:t>
            </w:r>
          </w:p>
        </w:tc>
        <w:tc>
          <w:tcPr>
            <w:tcW w:w="4111"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6D1BB1" w:rsidRDefault="006D1BB1">
            <w:pPr>
              <w:spacing w:line="288" w:lineRule="auto"/>
              <w:jc w:val="center"/>
              <w:rPr>
                <w:b/>
                <w:color w:val="FFFFFF"/>
              </w:rPr>
            </w:pPr>
            <w:r>
              <w:rPr>
                <w:b/>
                <w:color w:val="FFFFFF"/>
              </w:rPr>
              <w:t>Max ERP</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spacing w:line="276" w:lineRule="auto"/>
              <w:ind w:left="142"/>
              <w:rPr>
                <w:rFonts w:cs="Arial"/>
                <w:szCs w:val="20"/>
                <w:lang w:val="en-GB"/>
              </w:rPr>
            </w:pPr>
            <w:r>
              <w:rPr>
                <w:rFonts w:cs="Arial"/>
                <w:szCs w:val="20"/>
              </w:rPr>
              <w:lastRenderedPageBreak/>
              <w:t xml:space="preserve">Wireless microphones and </w:t>
            </w:r>
            <w:r>
              <w:rPr>
                <w:rFonts w:cs="Arial"/>
                <w:szCs w:val="20"/>
              </w:rPr>
              <w:br/>
              <w:t>in-ear monitor systems</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spacing w:line="276" w:lineRule="auto"/>
              <w:ind w:left="709" w:hanging="709"/>
              <w:jc w:val="center"/>
              <w:rPr>
                <w:rFonts w:cs="Arial"/>
                <w:szCs w:val="20"/>
                <w:lang w:val="en-GB"/>
              </w:rPr>
            </w:pPr>
            <w:r>
              <w:rPr>
                <w:rFonts w:cs="Arial"/>
                <w:szCs w:val="20"/>
              </w:rPr>
              <w:t xml:space="preserve">200 / 400 / 600 kHz </w:t>
            </w:r>
            <w:r>
              <w:rPr>
                <w:rStyle w:val="Appelnotedebasdep"/>
              </w:rPr>
              <w:footnoteReference w:id="10"/>
            </w:r>
            <w:r>
              <w:rPr>
                <w:rFonts w:cs="Arial"/>
                <w:szCs w:val="20"/>
              </w:rPr>
              <w:t xml:space="preserve"> per link</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spacing w:line="276" w:lineRule="auto"/>
              <w:ind w:hanging="46"/>
              <w:jc w:val="center"/>
              <w:rPr>
                <w:rFonts w:cs="Arial"/>
                <w:szCs w:val="20"/>
                <w:lang w:val="en-GB"/>
              </w:rPr>
            </w:pPr>
            <w:r>
              <w:rPr>
                <w:rFonts w:cs="Arial"/>
                <w:szCs w:val="20"/>
              </w:rPr>
              <w:t xml:space="preserve">50mW </w:t>
            </w:r>
          </w:p>
        </w:tc>
      </w:tr>
      <w:tr w:rsidR="006D1BB1" w:rsidTr="006D1BB1">
        <w:tc>
          <w:tcPr>
            <w:tcW w:w="2235" w:type="dxa"/>
            <w:tcBorders>
              <w:top w:val="single" w:sz="4" w:space="0" w:color="D2232A"/>
              <w:left w:val="single" w:sz="4" w:space="0" w:color="D2232A"/>
              <w:bottom w:val="single" w:sz="4" w:space="0" w:color="D2232A"/>
              <w:right w:val="single" w:sz="4" w:space="0" w:color="D2232A"/>
            </w:tcBorders>
            <w:hideMark/>
          </w:tcPr>
          <w:p w:rsidR="006D1BB1" w:rsidRDefault="006D1BB1">
            <w:pPr>
              <w:autoSpaceDE w:val="0"/>
              <w:autoSpaceDN w:val="0"/>
              <w:adjustRightInd w:val="0"/>
              <w:spacing w:line="276" w:lineRule="auto"/>
              <w:ind w:left="142"/>
              <w:rPr>
                <w:rFonts w:cs="Arial"/>
                <w:szCs w:val="20"/>
                <w:lang w:val="en-GB"/>
              </w:rPr>
            </w:pPr>
            <w:r>
              <w:rPr>
                <w:rFonts w:cs="Arial"/>
                <w:szCs w:val="20"/>
                <w:lang w:val="en-GB"/>
              </w:rPr>
              <w:t>Wireless conference and interpretation systems</w:t>
            </w:r>
          </w:p>
        </w:tc>
        <w:tc>
          <w:tcPr>
            <w:tcW w:w="2976" w:type="dxa"/>
            <w:tcBorders>
              <w:top w:val="single" w:sz="4" w:space="0" w:color="D2232A"/>
              <w:left w:val="single" w:sz="4" w:space="0" w:color="D2232A"/>
              <w:bottom w:val="single" w:sz="4" w:space="0" w:color="D2232A"/>
              <w:right w:val="single" w:sz="4" w:space="0" w:color="D2232A"/>
            </w:tcBorders>
            <w:hideMark/>
          </w:tcPr>
          <w:p w:rsidR="006D1BB1" w:rsidRDefault="006D1BB1">
            <w:pPr>
              <w:pStyle w:val="ListParagraph1"/>
              <w:autoSpaceDE w:val="0"/>
              <w:autoSpaceDN w:val="0"/>
              <w:adjustRightInd w:val="0"/>
              <w:spacing w:line="276" w:lineRule="auto"/>
              <w:ind w:left="49"/>
              <w:contextualSpacing/>
              <w:jc w:val="center"/>
              <w:rPr>
                <w:rFonts w:ascii="Arial" w:hAnsi="Arial" w:cs="Arial"/>
                <w:sz w:val="20"/>
                <w:szCs w:val="20"/>
                <w:lang w:eastAsia="en-US"/>
              </w:rPr>
            </w:pPr>
            <w:r>
              <w:rPr>
                <w:rFonts w:ascii="Arial" w:hAnsi="Arial" w:cs="Arial"/>
                <w:sz w:val="20"/>
                <w:szCs w:val="20"/>
                <w:lang w:eastAsia="en-US"/>
              </w:rPr>
              <w:t>20 MHz (in one block)</w:t>
            </w:r>
          </w:p>
        </w:tc>
        <w:tc>
          <w:tcPr>
            <w:tcW w:w="4111" w:type="dxa"/>
            <w:tcBorders>
              <w:top w:val="single" w:sz="4" w:space="0" w:color="D2232A"/>
              <w:left w:val="single" w:sz="4" w:space="0" w:color="D2232A"/>
              <w:bottom w:val="single" w:sz="4" w:space="0" w:color="D2232A"/>
              <w:right w:val="single" w:sz="4" w:space="0" w:color="D2232A"/>
            </w:tcBorders>
            <w:hideMark/>
          </w:tcPr>
          <w:p w:rsidR="006D1BB1" w:rsidRDefault="006D1BB1">
            <w:pPr>
              <w:pStyle w:val="ListParagraph1"/>
              <w:autoSpaceDE w:val="0"/>
              <w:autoSpaceDN w:val="0"/>
              <w:adjustRightInd w:val="0"/>
              <w:spacing w:line="276" w:lineRule="auto"/>
              <w:ind w:left="96"/>
              <w:contextualSpacing/>
              <w:jc w:val="center"/>
              <w:rPr>
                <w:rFonts w:ascii="Arial" w:hAnsi="Arial" w:cs="Arial"/>
                <w:sz w:val="20"/>
                <w:szCs w:val="20"/>
                <w:lang w:eastAsia="en-US"/>
              </w:rPr>
            </w:pPr>
            <w:r>
              <w:rPr>
                <w:rFonts w:ascii="Arial" w:hAnsi="Arial" w:cs="Arial"/>
                <w:sz w:val="20"/>
                <w:szCs w:val="20"/>
                <w:lang w:eastAsia="en-US"/>
              </w:rPr>
              <w:t>100mW</w:t>
            </w:r>
          </w:p>
        </w:tc>
      </w:tr>
    </w:tbl>
    <w:p w:rsidR="006D1BB1" w:rsidRDefault="006D1BB1" w:rsidP="006D1BB1">
      <w:pPr>
        <w:spacing w:line="276" w:lineRule="auto"/>
        <w:rPr>
          <w:lang w:val="fr-CH"/>
        </w:rPr>
      </w:pPr>
    </w:p>
    <w:p w:rsidR="006D1BB1" w:rsidRDefault="006D1BB1" w:rsidP="006D1BB1">
      <w:pPr>
        <w:spacing w:before="120" w:line="276" w:lineRule="auto"/>
        <w:rPr>
          <w:rFonts w:cs="Arial"/>
          <w:szCs w:val="20"/>
          <w:lang w:val="en-GB"/>
        </w:rPr>
      </w:pPr>
      <w:r>
        <w:rPr>
          <w:rFonts w:cs="Arial"/>
          <w:szCs w:val="20"/>
          <w:lang w:val="en-GB"/>
        </w:rPr>
        <w:t xml:space="preserve">Wireless conference and interpretation systems are used in houses of parliament, courts, at banks and insurance companies, multipurpose halls, hotels, conference centres, industry meeting and discussion rooms as well as designed board rooms or historical meeting places that do not allow installations etc. These systems are very often combined with wireless microphone systems and in-ear monitor systems for those that lead through a presentation or discussion. </w:t>
      </w:r>
    </w:p>
    <w:p w:rsidR="006D1BB1" w:rsidRDefault="006D1BB1" w:rsidP="006D1BB1">
      <w:pPr>
        <w:rPr>
          <w:rFonts w:cs="Arial"/>
          <w:szCs w:val="20"/>
          <w:lang w:val="en-GB"/>
        </w:rPr>
      </w:pPr>
    </w:p>
    <w:p w:rsidR="006D1BB1" w:rsidRDefault="006D1BB1" w:rsidP="006D1BB1">
      <w:pPr>
        <w:rPr>
          <w:rFonts w:cs="Arial"/>
          <w:szCs w:val="20"/>
          <w:lang w:val="en-GB"/>
        </w:rPr>
      </w:pPr>
      <w:r>
        <w:rPr>
          <w:rFonts w:cs="Arial"/>
          <w:szCs w:val="20"/>
          <w:lang w:val="en-GB"/>
        </w:rPr>
        <w:t xml:space="preserve">The current wireless microphone systems both analogue and digital deliver a resolution of 16 bit. This is almost CD quality. This is suitable for live presentations and the majority of all other productions. HD-Sound demands more: Studios already use for their productions 24 or 32 bit resolution and wish to use it direct from the wireless microphone too. Higher resolution means more dynamics for the listeners. ECC regulations are compatible with this demand through increasing the maximum allowed bandwidth from 200 kHz to 600 kHz. It can be seen that just by switching to the 24 bit resolution the required amount of spectrum for a given production doubles, for 32 bit resolution it triples. </w:t>
      </w:r>
    </w:p>
    <w:p w:rsidR="006D1BB1" w:rsidRDefault="006D1BB1" w:rsidP="006D1BB1">
      <w:pPr>
        <w:spacing w:before="120" w:line="276" w:lineRule="auto"/>
        <w:rPr>
          <w:rFonts w:cs="Arial"/>
          <w:szCs w:val="20"/>
          <w:lang w:val="en-GB"/>
        </w:rPr>
      </w:pPr>
      <w:r>
        <w:rPr>
          <w:rFonts w:cs="Arial"/>
          <w:szCs w:val="20"/>
          <w:lang w:val="en-GB"/>
        </w:rPr>
        <w:t>Whereas in the past professional wireless microphone systems could not use bands above 1 GHz due to technical issues modern professional systems can operate above 1 GHz for certain applications.</w:t>
      </w:r>
    </w:p>
    <w:p w:rsidR="006D1BB1" w:rsidRDefault="006D1BB1" w:rsidP="006D1BB1">
      <w:pPr>
        <w:spacing w:before="120" w:line="276" w:lineRule="auto"/>
        <w:rPr>
          <w:rFonts w:cs="Arial"/>
          <w:b/>
          <w:szCs w:val="20"/>
          <w:lang w:val="en-GB"/>
        </w:rPr>
      </w:pPr>
      <w:r>
        <w:rPr>
          <w:rFonts w:cs="Arial"/>
          <w:b/>
          <w:szCs w:val="20"/>
          <w:lang w:val="en-GB"/>
        </w:rPr>
        <w:t>3.5.2</w:t>
      </w:r>
      <w:r>
        <w:rPr>
          <w:rFonts w:cs="Arial"/>
          <w:b/>
          <w:szCs w:val="20"/>
          <w:lang w:val="en-GB"/>
        </w:rPr>
        <w:tab/>
        <w:t>Justification</w:t>
      </w:r>
    </w:p>
    <w:p w:rsidR="006D1BB1" w:rsidRDefault="006D1BB1" w:rsidP="006D1BB1">
      <w:pPr>
        <w:pStyle w:val="ECCParagraph"/>
      </w:pPr>
      <w:r>
        <w:t xml:space="preserve">Section 3.1 of ECC's Strategic Plan </w:t>
      </w:r>
      <w:r>
        <w:rPr>
          <w:vertAlign w:val="superscript"/>
        </w:rPr>
        <w:footnoteReference w:id="11"/>
      </w:r>
      <w:r>
        <w:t xml:space="preserve"> mentions that the identification of appropriate frequency bands for PMSE is one of the main challenges of ECC to be solved within the next remaining three years due to the fact,</w:t>
      </w:r>
      <w:r>
        <w:rPr>
          <w:b/>
          <w:bCs/>
          <w:sz w:val="22"/>
          <w:szCs w:val="22"/>
          <w:lang w:eastAsia="de-DE"/>
        </w:rPr>
        <w:t xml:space="preserve"> </w:t>
      </w:r>
      <w:r>
        <w:t>that “in the course of implementing the digital dividend affected applications supporting programme making and special events (PMSE) are likely to be refarmed. Providing appropriate and sufficient resources to PMSE is crucial for that sector.” This is also in line with the EU policy objective to support the creative and cultural activities. The ECC established project team FM 51 to address the spectrum requirements for PMSE. However, the mandate of FM 51 excludes to consider the band 1452-1492 MHz for the applications under its mandate, pending the result of FM 50.</w:t>
      </w:r>
    </w:p>
    <w:p w:rsidR="006D1BB1" w:rsidRDefault="006D1BB1" w:rsidP="006D1BB1">
      <w:pPr>
        <w:pStyle w:val="ECCParagraph"/>
      </w:pPr>
      <w:r>
        <w:t>Already in 2007 the ETSI SRDoc TR 102546 requested access to the L-Band for the future development of PMSE. Besides that ETSI updated the spectrum mask above 1 GHz in the technical standard for audio PMSE (EN 300 422). Based on these ETSI statements manufacturers have invested already to provide technology for this range.</w:t>
      </w:r>
    </w:p>
    <w:p w:rsidR="006D1BB1" w:rsidRDefault="006D1BB1" w:rsidP="006D1BB1">
      <w:pPr>
        <w:pStyle w:val="ECCParagraph"/>
      </w:pPr>
      <w:r>
        <w:t>The necessary spectrum harmonization of PMSE wireless production systems will require a long term effort from ECC and relevant CEPT Administrations at national level, but ECC has to face this challenge of coordinating the spectrum need of PMSE in Europe and as far as possible on a worldwide basis.</w:t>
      </w:r>
    </w:p>
    <w:p w:rsidR="006D1BB1" w:rsidRDefault="006D1BB1" w:rsidP="006D1BB1">
      <w:pPr>
        <w:pStyle w:val="ECCParagraph"/>
      </w:pPr>
      <w:r>
        <w:t xml:space="preserve">The L-Band could potentially be available to audio PMSE across Europe and beyond on a secondary basis. </w:t>
      </w:r>
      <w:r>
        <w:rPr>
          <w:i/>
          <w:highlight w:val="yellow"/>
        </w:rPr>
        <w:t>[Editorial note: the reference to the PLUM Study - FM50(11)019, page 9].</w:t>
      </w:r>
    </w:p>
    <w:p w:rsidR="006D1BB1" w:rsidRDefault="006D1BB1" w:rsidP="006D1BB1">
      <w:pPr>
        <w:pStyle w:val="ECCParagraph"/>
      </w:pPr>
      <w:r>
        <w:t>The density of users of audio PMSE applications in the currently available spectrum has risen in the course of implementing the digital dividend and as a result of the switch-over from analogue to digital TV. Future evolution of terrestrial digital TV may further limit the spectrum available for audio PMSE in the UHF band (e.g. simulcast of DVB-T and DVB-T2, HDTV, 3DTV) noting that PMSE is a secondary user and may only use gaps left by the TV transmitters.</w:t>
      </w:r>
    </w:p>
    <w:p w:rsidR="006D1BB1" w:rsidRDefault="006D1BB1" w:rsidP="006D1BB1">
      <w:pPr>
        <w:pStyle w:val="ECCParagraph"/>
      </w:pPr>
      <w:r>
        <w:lastRenderedPageBreak/>
        <w:t>At the same time the need for spectrum is increasing steadily because of the increasing demand for production quality, new audio formats and the growth of the number of concurrent PMSE users in a given event</w:t>
      </w:r>
      <w:r>
        <w:rPr>
          <w:rStyle w:val="Appelnotedebasdep"/>
          <w:szCs w:val="20"/>
        </w:rPr>
        <w:footnoteReference w:id="12"/>
      </w:r>
      <w:r>
        <w:t>. This may lead to the situation where peak spectrum demand will not be possible to satisfy within the exiting spectrum.</w:t>
      </w:r>
    </w:p>
    <w:p w:rsidR="006D1BB1" w:rsidRDefault="006D1BB1" w:rsidP="006D1BB1">
      <w:pPr>
        <w:spacing w:before="120" w:line="276" w:lineRule="auto"/>
        <w:rPr>
          <w:rFonts w:cs="Arial"/>
          <w:szCs w:val="20"/>
          <w:lang w:val="en-GB"/>
        </w:rPr>
      </w:pPr>
      <w:r>
        <w:rPr>
          <w:rFonts w:cs="Arial"/>
          <w:szCs w:val="20"/>
          <w:lang w:val="en-GB"/>
        </w:rPr>
        <w:t xml:space="preserve">Some applications currently operating in the UHF band could be moved to the L-band, provided that they accept the related operational constraints. Man-made noise in the L-Band is lower than in the UHF range while the wave propagation characteristics in the L band are not as favourable. </w:t>
      </w:r>
    </w:p>
    <w:p w:rsidR="006D1BB1" w:rsidRDefault="006D1BB1" w:rsidP="006D1BB1">
      <w:pPr>
        <w:spacing w:before="120" w:line="276" w:lineRule="auto"/>
        <w:rPr>
          <w:lang w:val="en-GB"/>
        </w:rPr>
      </w:pPr>
      <w:r>
        <w:rPr>
          <w:lang w:val="en-GB"/>
        </w:rPr>
        <w:t>The amount of spectrum required to operate wireless microphones in a given event is not a linear function of the number of microphones, but more a geometrical or exponential function (see Annex 7) For example, assuming devices compliant with standards EN300 422 and operating in the UHF band, the operation of 22 devices requires typically 20 MHz of spectrum, while the operation of 32 devices requires typically 40 MHz.</w:t>
      </w:r>
    </w:p>
    <w:p w:rsidR="006D1BB1" w:rsidRDefault="006D1BB1" w:rsidP="006D1BB1">
      <w:pPr>
        <w:spacing w:before="120" w:line="276" w:lineRule="auto"/>
        <w:rPr>
          <w:lang w:val="en-GB"/>
        </w:rPr>
      </w:pPr>
    </w:p>
    <w:p w:rsidR="006D1BB1" w:rsidRDefault="006D1BB1" w:rsidP="006D1BB1">
      <w:pPr>
        <w:spacing w:line="276" w:lineRule="auto"/>
        <w:rPr>
          <w:lang w:val="en-GB"/>
        </w:rPr>
      </w:pPr>
      <w:r>
        <w:rPr>
          <w:b/>
          <w:lang w:val="en-GB"/>
        </w:rPr>
        <w:t>3.5.3 Spectrum requirements</w:t>
      </w:r>
    </w:p>
    <w:p w:rsidR="006D1BB1" w:rsidRDefault="006D1BB1" w:rsidP="006D1BB1">
      <w:pPr>
        <w:spacing w:line="276" w:lineRule="auto"/>
        <w:rPr>
          <w:lang w:val="en-GB"/>
        </w:rPr>
      </w:pPr>
    </w:p>
    <w:p w:rsidR="006D1BB1" w:rsidRDefault="006D1BB1" w:rsidP="006D1BB1">
      <w:pPr>
        <w:pStyle w:val="ECCParagraph"/>
      </w:pPr>
      <w:r>
        <w:t>PMSE applications are successfully operating in interleaved spectrum alongside primary users and would benefit from having access on a secondary basis to the L-Band from 1452 to 1492 MHz.</w:t>
      </w:r>
    </w:p>
    <w:p w:rsidR="006D1BB1" w:rsidRPr="006D1BB1" w:rsidRDefault="006D1BB1" w:rsidP="000F6780">
      <w:pPr>
        <w:pStyle w:val="Titre2"/>
        <w:numPr>
          <w:ilvl w:val="1"/>
          <w:numId w:val="19"/>
        </w:numPr>
        <w:rPr>
          <w:i/>
        </w:rPr>
      </w:pPr>
      <w:bookmarkStart w:id="49" w:name="_Toc322126818"/>
      <w:r>
        <w:t xml:space="preserve">Application six: </w:t>
      </w:r>
      <w:r w:rsidRPr="006D1BB1">
        <w:rPr>
          <w:szCs w:val="22"/>
        </w:rPr>
        <w:t xml:space="preserve">Broadband </w:t>
      </w:r>
      <w:r>
        <w:t>PPDR for temporary and local use</w:t>
      </w:r>
      <w:bookmarkEnd w:id="49"/>
    </w:p>
    <w:p w:rsidR="006D1BB1" w:rsidRDefault="006D1BB1" w:rsidP="000F6780">
      <w:pPr>
        <w:pStyle w:val="Titre3"/>
        <w:numPr>
          <w:ilvl w:val="2"/>
          <w:numId w:val="19"/>
        </w:numPr>
      </w:pPr>
      <w:bookmarkStart w:id="50" w:name="_Toc321318118"/>
      <w:bookmarkStart w:id="51" w:name="_Toc322126819"/>
      <w:r>
        <w:t>Description</w:t>
      </w:r>
      <w:bookmarkEnd w:id="50"/>
      <w:bookmarkEnd w:id="51"/>
    </w:p>
    <w:p w:rsidR="006D1BB1" w:rsidRDefault="006D1BB1" w:rsidP="006D1BB1">
      <w:pPr>
        <w:pStyle w:val="ECCParagraph"/>
      </w:pPr>
      <w:r>
        <w:t>Public Protection and Disaster Relief (PPDR) radiocommunication systems are defined (by ITU-R) as:</w:t>
      </w:r>
    </w:p>
    <w:p w:rsidR="006D1BB1" w:rsidRDefault="006D1BB1" w:rsidP="006D1BB1">
      <w:pPr>
        <w:pStyle w:val="ECCParagraph"/>
      </w:pPr>
      <w:r>
        <w:t>Radiocommunications of Public Protection (PP) used by responsible agencies and organizations dealing with maintenance of law and order, protection of life and property, and emergency situations.</w:t>
      </w:r>
    </w:p>
    <w:p w:rsidR="006D1BB1" w:rsidRDefault="006D1BB1" w:rsidP="006D1BB1">
      <w:pPr>
        <w:pStyle w:val="ECCParagraph"/>
      </w:pPr>
      <w:r>
        <w:t>Radiocommunications of Disaster Relief (DR) used by agencies and organizations dealing with a serious disruption of the functioning of society, posing a significant, widespread threat to human life, health, property or the environment, whether caused by accident, nature or human activity, and whether developing suddenly or as a result of complex, long-term processes.</w:t>
      </w:r>
    </w:p>
    <w:p w:rsidR="006D1BB1" w:rsidRDefault="006D1BB1" w:rsidP="006D1BB1">
      <w:pPr>
        <w:pStyle w:val="ECCParagraph"/>
        <w:rPr>
          <w:lang w:val="nb-NO"/>
        </w:rPr>
      </w:pPr>
      <w:r>
        <w:rPr>
          <w:lang w:val="nb-NO"/>
        </w:rPr>
        <w:t xml:space="preserve">National narrowband PPDR networks using the TETRA or TETRAPOL technology are in operation in many European countries using the 390-395 MHz/380-385 MHz band harmonized for narrowband PPDR applications (ECC/DEC(08)05). Various studies and surveys have been made in an attempt to define the PPDR organisations future need of broadband applications. The users see a demand for a number of broadband applications in their future daily work, as well as in emergency crises situations. When translated to frequency bandwidth requirements, a minimum spectrum of 2 </w:t>
      </w:r>
      <w:r>
        <w:rPr>
          <w:iCs/>
          <w:lang w:val="nb-NO"/>
        </w:rPr>
        <w:t>×</w:t>
      </w:r>
      <w:r>
        <w:rPr>
          <w:lang w:val="nb-NO"/>
        </w:rPr>
        <w:t xml:space="preserve"> 10 MHz below </w:t>
      </w:r>
      <w:r>
        <w:rPr>
          <w:lang w:val="nb-NO"/>
        </w:rPr>
        <w:br/>
        <w:t>1 GHz is believed to be necessary to cover the identified needs.</w:t>
      </w:r>
    </w:p>
    <w:p w:rsidR="006D1BB1" w:rsidRDefault="006D1BB1" w:rsidP="006D1BB1">
      <w:pPr>
        <w:pStyle w:val="ECCParagraph"/>
        <w:rPr>
          <w:lang w:val="nb-NO"/>
        </w:rPr>
      </w:pPr>
      <w:r>
        <w:rPr>
          <w:lang w:val="nb-NO"/>
        </w:rPr>
        <w:t>In addition to the identified need for permanent spectrum for broadband PPDR, studies done on the initiative of the one administration</w:t>
      </w:r>
      <w:r>
        <w:rPr>
          <w:rStyle w:val="Appelnotedebasdep"/>
          <w:lang w:val="nb-NO"/>
        </w:rPr>
        <w:footnoteReference w:id="13"/>
      </w:r>
      <w:r>
        <w:rPr>
          <w:lang w:val="nb-NO"/>
        </w:rPr>
        <w:t xml:space="preserve"> show an additional need for spectrum for temporary use. In order to allow the PPDR applications for the usage of additional capacity to transmit real-time video of the site of operation or medical telemetry etc. it has been considered to provide these applications with an extension at the site of operation. The spectrum requirements for temporary and local usage are mainly driven by the need to address significant incidents where this additional capacity is required. The PPDR devices will need to be capable of operating in both the permanent and temporary spectrum bands. During temporary use for PPDR the spectrum will not be accessable to any other </w:t>
      </w:r>
      <w:r>
        <w:rPr>
          <w:lang w:val="nb-NO"/>
        </w:rPr>
        <w:lastRenderedPageBreak/>
        <w:t>users. Appropriate mechanisms to ensure priority access for PPDR users to the temporary bands are to be defined.</w:t>
      </w:r>
    </w:p>
    <w:p w:rsidR="006D1BB1" w:rsidRDefault="006D1BB1" w:rsidP="000F6780">
      <w:pPr>
        <w:pStyle w:val="Titre3"/>
        <w:numPr>
          <w:ilvl w:val="2"/>
          <w:numId w:val="19"/>
        </w:numPr>
      </w:pPr>
      <w:bookmarkStart w:id="52" w:name="_Toc321318119"/>
      <w:bookmarkStart w:id="53" w:name="_Toc322126820"/>
      <w:r>
        <w:t>Justification</w:t>
      </w:r>
      <w:bookmarkEnd w:id="52"/>
      <w:bookmarkEnd w:id="53"/>
    </w:p>
    <w:p w:rsidR="006D1BB1" w:rsidRDefault="006D1BB1" w:rsidP="006D1BB1">
      <w:pPr>
        <w:pStyle w:val="ECCParagraph"/>
        <w:rPr>
          <w:highlight w:val="green"/>
        </w:rPr>
      </w:pPr>
      <w:r>
        <w:t>Section 3.3</w:t>
      </w:r>
      <w:r>
        <w:rPr>
          <w:vertAlign w:val="superscript"/>
        </w:rPr>
        <w:footnoteReference w:id="14"/>
      </w:r>
      <w:r>
        <w:t xml:space="preserve"> of ECC’s Strategic Plan</w:t>
      </w:r>
      <w:r>
        <w:rPr>
          <w:vertAlign w:val="superscript"/>
        </w:rPr>
        <w:footnoteReference w:id="15"/>
      </w:r>
      <w:r>
        <w:t xml:space="preserve"> mentions that the overall demand for PPDR spectrum is one of the main challenges of ECC to be solved within the next remaining three years. Until now no other frequency band is designated for the use by broadband PPDR applications. The ECC established project team FM PT49 to address the spectrum requirements for PPDR.</w:t>
      </w:r>
    </w:p>
    <w:p w:rsidR="006D1BB1" w:rsidRDefault="006D1BB1" w:rsidP="006D1BB1">
      <w:pPr>
        <w:pStyle w:val="ECCParagraph"/>
      </w:pPr>
      <w:r>
        <w:t>Some administrations identified the need for temporary and local PPDR networks with spectrum requirements outside those currently used for PPDR. The L-band could accommodate these needs.</w:t>
      </w:r>
    </w:p>
    <w:p w:rsidR="006D1BB1" w:rsidRDefault="006D1BB1" w:rsidP="006D1BB1">
      <w:pPr>
        <w:pStyle w:val="ECCParagraph"/>
        <w:spacing w:after="120"/>
        <w:rPr>
          <w:szCs w:val="20"/>
        </w:rPr>
      </w:pPr>
      <w:r>
        <w:rPr>
          <w:lang w:val="nb-NO"/>
        </w:rPr>
        <w:t>The above mentioned studies show that i</w:t>
      </w:r>
      <w:r>
        <w:t xml:space="preserve">n case of significant incidents the following applications  require higher capacity than that which can be provided by the permanent PPDR </w:t>
      </w:r>
      <w:r>
        <w:rPr>
          <w:szCs w:val="20"/>
        </w:rPr>
        <w:t>networks:</w:t>
      </w:r>
    </w:p>
    <w:p w:rsidR="006D1BB1" w:rsidRDefault="006D1BB1" w:rsidP="000F6780">
      <w:pPr>
        <w:pStyle w:val="ECCParBulleted"/>
        <w:numPr>
          <w:ilvl w:val="0"/>
          <w:numId w:val="18"/>
        </w:numPr>
      </w:pPr>
      <w:r>
        <w:t xml:space="preserve">local mobile data transfer </w:t>
      </w:r>
    </w:p>
    <w:p w:rsidR="006D1BB1" w:rsidRDefault="006D1BB1" w:rsidP="000F6780">
      <w:pPr>
        <w:pStyle w:val="ECCParBulleted"/>
        <w:numPr>
          <w:ilvl w:val="0"/>
          <w:numId w:val="18"/>
        </w:numPr>
      </w:pPr>
      <w:r>
        <w:t>local high speed moving picture transfer</w:t>
      </w:r>
    </w:p>
    <w:p w:rsidR="006D1BB1" w:rsidRDefault="006D1BB1" w:rsidP="000F6780">
      <w:pPr>
        <w:pStyle w:val="ECCParBulleted"/>
        <w:numPr>
          <w:ilvl w:val="0"/>
          <w:numId w:val="18"/>
        </w:numPr>
      </w:pPr>
      <w:r>
        <w:t>local infrared high speed moving picture transfer</w:t>
      </w:r>
    </w:p>
    <w:p w:rsidR="006D1BB1" w:rsidRDefault="006D1BB1" w:rsidP="000F6780">
      <w:pPr>
        <w:pStyle w:val="ECCParBulleted"/>
        <w:numPr>
          <w:ilvl w:val="0"/>
          <w:numId w:val="18"/>
        </w:numPr>
      </w:pPr>
      <w:r>
        <w:t>local t</w:t>
      </w:r>
      <w:hyperlink r:id="rId14" w:history="1">
        <w:r>
          <w:rPr>
            <w:rStyle w:val="Lienhypertexte"/>
            <w:szCs w:val="20"/>
          </w:rPr>
          <w:t>hermal imaging cameras</w:t>
        </w:r>
      </w:hyperlink>
    </w:p>
    <w:p w:rsidR="006D1BB1" w:rsidRDefault="006D1BB1" w:rsidP="000F6780">
      <w:pPr>
        <w:pStyle w:val="ECCParBulleted"/>
        <w:numPr>
          <w:ilvl w:val="0"/>
          <w:numId w:val="18"/>
        </w:numPr>
      </w:pPr>
      <w:r>
        <w:t>local operation surveillance</w:t>
      </w:r>
    </w:p>
    <w:p w:rsidR="006D1BB1" w:rsidRDefault="006D1BB1" w:rsidP="000F6780">
      <w:pPr>
        <w:pStyle w:val="ECCParBulleted"/>
        <w:numPr>
          <w:ilvl w:val="0"/>
          <w:numId w:val="18"/>
        </w:numPr>
      </w:pPr>
      <w:r>
        <w:t>local unmanned remote controlled vehicles carrying surveillance cameras</w:t>
      </w:r>
    </w:p>
    <w:p w:rsidR="006D1BB1" w:rsidRDefault="006D1BB1" w:rsidP="000F6780">
      <w:pPr>
        <w:pStyle w:val="Titre3"/>
        <w:numPr>
          <w:ilvl w:val="2"/>
          <w:numId w:val="19"/>
        </w:numPr>
      </w:pPr>
      <w:bookmarkStart w:id="54" w:name="_Toc321318120"/>
      <w:bookmarkStart w:id="55" w:name="_Toc322126821"/>
      <w:r>
        <w:t>Spectrum requirements</w:t>
      </w:r>
      <w:bookmarkEnd w:id="54"/>
      <w:bookmarkEnd w:id="55"/>
    </w:p>
    <w:p w:rsidR="006D1BB1" w:rsidRDefault="006D1BB1" w:rsidP="006D1BB1">
      <w:pPr>
        <w:pStyle w:val="ECCParagraph"/>
      </w:pPr>
      <w:r>
        <w:t xml:space="preserve">Investigations undertaken by one CEPT country on high speed data communication demands and needs for PPDR and its possible realisation in the radio spectrum have been carried out in 2010 and 2011. </w:t>
      </w:r>
      <w:r>
        <w:rPr>
          <w:i/>
          <w:highlight w:val="yellow"/>
        </w:rPr>
        <w:t>[Editorial note: include the references to the studies]</w:t>
      </w:r>
      <w:r>
        <w:t>.</w:t>
      </w:r>
    </w:p>
    <w:p w:rsidR="006D1BB1" w:rsidRDefault="006D1BB1" w:rsidP="006D1BB1">
      <w:pPr>
        <w:pStyle w:val="ECCParagraph"/>
      </w:pPr>
      <w:r>
        <w:t>The calculations have been done on the basis of LTE - but not prejudging LTE or excluding any other standard at this point of time.</w:t>
      </w:r>
    </w:p>
    <w:p w:rsidR="006D1BB1" w:rsidRDefault="006D1BB1" w:rsidP="006D1BB1">
      <w:pPr>
        <w:pStyle w:val="ECCParagraph"/>
        <w:rPr>
          <w:lang w:val="en-US"/>
        </w:rPr>
      </w:pPr>
      <w:r>
        <w:t xml:space="preserve">The needed bandwidth for </w:t>
      </w:r>
      <w:r>
        <w:rPr>
          <w:lang w:val="en-US"/>
        </w:rPr>
        <w:t xml:space="preserve">temporary and local </w:t>
      </w:r>
      <w:r>
        <w:t xml:space="preserve">PPDR high speed data communications </w:t>
      </w:r>
      <w:r>
        <w:rPr>
          <w:lang w:val="en-US"/>
        </w:rPr>
        <w:t xml:space="preserve">is 15 MHz as indicated in one of the above mentioned studies </w:t>
      </w:r>
      <w:r>
        <w:rPr>
          <w:i/>
          <w:highlight w:val="yellow"/>
          <w:lang w:val="en-US"/>
        </w:rPr>
        <w:t>[Editorial note: include a reference to the WIK study]</w:t>
      </w:r>
      <w:r>
        <w:rPr>
          <w:lang w:val="en-US"/>
        </w:rPr>
        <w:t>.</w:t>
      </w:r>
      <w:r>
        <w:rPr>
          <w:i/>
          <w:highlight w:val="cyan"/>
          <w:lang w:val="en-US"/>
        </w:rPr>
        <w:t xml:space="preserve"> </w:t>
      </w:r>
      <w:r>
        <w:rPr>
          <w:lang w:val="en-US"/>
        </w:rPr>
        <w:t>This requirement is primarily considered for a pan-European deployment.</w:t>
      </w:r>
    </w:p>
    <w:p w:rsidR="006D1BB1" w:rsidRDefault="006D1BB1" w:rsidP="000F6780">
      <w:pPr>
        <w:pStyle w:val="Titre2"/>
        <w:numPr>
          <w:ilvl w:val="1"/>
          <w:numId w:val="19"/>
        </w:numPr>
      </w:pPr>
      <w:bookmarkStart w:id="56" w:name="_Toc322126822"/>
      <w:r>
        <w:t>Application seven:</w:t>
      </w:r>
      <w:r>
        <w:tab/>
        <w:t>Broadband Direct-Air-to-Ground Communications (BDA2GC)</w:t>
      </w:r>
      <w:bookmarkEnd w:id="56"/>
    </w:p>
    <w:p w:rsidR="006D1BB1" w:rsidRDefault="006D1BB1" w:rsidP="000F6780">
      <w:pPr>
        <w:pStyle w:val="Titre3"/>
        <w:numPr>
          <w:ilvl w:val="2"/>
          <w:numId w:val="19"/>
        </w:numPr>
      </w:pPr>
      <w:bookmarkStart w:id="57" w:name="_Toc321318122"/>
      <w:bookmarkStart w:id="58" w:name="_Toc322126823"/>
      <w:r>
        <w:t>Description</w:t>
      </w:r>
      <w:bookmarkEnd w:id="57"/>
      <w:bookmarkEnd w:id="58"/>
    </w:p>
    <w:p w:rsidR="006D1BB1" w:rsidRDefault="006D1BB1" w:rsidP="006D1BB1">
      <w:pPr>
        <w:pStyle w:val="ECCParagraph"/>
      </w:pPr>
      <w:r>
        <w:t xml:space="preserve">A broadband DA2GC system constitutes an application for various types of telecommunications services, such as internet access and mobile multimedia services. It aims to provide access to broadband communication services during continental flights on a Europe-wide basis. The overall end-to-end system architecture of the broadband DA2G communication system is illustrated in </w:t>
      </w:r>
      <w:r>
        <w:fldChar w:fldCharType="begin"/>
      </w:r>
      <w:r>
        <w:instrText xml:space="preserve"> REF _Ref311008089 \h </w:instrText>
      </w:r>
      <w:r>
        <w:fldChar w:fldCharType="separate"/>
      </w:r>
      <w:r>
        <w:t xml:space="preserve">Figure </w:t>
      </w:r>
      <w:r>
        <w:rPr>
          <w:noProof/>
        </w:rPr>
        <w:t>2</w:t>
      </w:r>
      <w:r>
        <w:fldChar w:fldCharType="end"/>
      </w:r>
      <w:r>
        <w:t>. The request for spectrum is related to the direct air-to-ground radio solution.</w:t>
      </w:r>
    </w:p>
    <w:p w:rsidR="006D1BB1" w:rsidRDefault="006D1BB1" w:rsidP="006D1BB1"/>
    <w:p w:rsidR="006D1BB1" w:rsidRDefault="006D1BB1" w:rsidP="006D1BB1">
      <w:pPr>
        <w:jc w:val="center"/>
        <w:rPr>
          <w:szCs w:val="20"/>
        </w:rPr>
      </w:pPr>
      <w:r>
        <w:rPr>
          <w:noProof/>
          <w:lang w:val="fr-FR" w:eastAsia="fr-FR"/>
        </w:rPr>
        <w:lastRenderedPageBreak/>
        <w:drawing>
          <wp:inline distT="0" distB="0" distL="0" distR="0" wp14:anchorId="7BA34A2E" wp14:editId="4261B202">
            <wp:extent cx="5686425" cy="2962275"/>
            <wp:effectExtent l="0" t="0" r="9525" b="9525"/>
            <wp:docPr id="3" name="Picture 3" descr="Description: System-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System-Architect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6425" cy="2962275"/>
                    </a:xfrm>
                    <a:prstGeom prst="rect">
                      <a:avLst/>
                    </a:prstGeom>
                    <a:noFill/>
                    <a:ln>
                      <a:noFill/>
                    </a:ln>
                  </pic:spPr>
                </pic:pic>
              </a:graphicData>
            </a:graphic>
          </wp:inline>
        </w:drawing>
      </w:r>
    </w:p>
    <w:p w:rsidR="006D1BB1" w:rsidRDefault="006D1BB1" w:rsidP="007E42E6">
      <w:pPr>
        <w:pStyle w:val="ECCFiguretitle"/>
      </w:pPr>
      <w:bookmarkStart w:id="59" w:name="_Ref310935488"/>
      <w:r>
        <w:t>System architecture for broadband DA2G communication</w:t>
      </w:r>
      <w:bookmarkEnd w:id="59"/>
      <w:r>
        <w:t xml:space="preserve"> </w:t>
      </w:r>
    </w:p>
    <w:p w:rsidR="006D1BB1" w:rsidRDefault="006D1BB1" w:rsidP="006D1BB1">
      <w:pPr>
        <w:pStyle w:val="ECCParagraph"/>
        <w:rPr>
          <w:lang w:val="en-US"/>
        </w:rPr>
      </w:pPr>
      <w:r>
        <w:t>The BDA2GC system under consideration in this Report is based on the 3GPP LTE (also called E-UTRA) standard (Rel. 8 or higher), as described in more detail in ETSI TR 103 054. The general characteristics of the DA2GC RF and digital baseband signals are also based on the LTE specification. To adapt the LTE system functionalities to the DA2GC link specifics, some modifications are required. In particular synchronization algorithms as well as the maximum OBU Tx power are to be modified compared to terrestrial mobile radio usage in order to cope with high Doppler frequency shift caused by aircraft speed and large cell sizes. In addition the BS antenna adjustment has to be matched to cover typical aircraft altitudes between 3 and 12 km by up-tilt of vertical diagrams. Ongoing investigations will determine whether further modifications are required</w:t>
      </w:r>
      <w:r>
        <w:rPr>
          <w:rStyle w:val="Appelnotedebasdep"/>
        </w:rPr>
        <w:footnoteReference w:id="16"/>
      </w:r>
      <w:r>
        <w:t>.</w:t>
      </w:r>
    </w:p>
    <w:p w:rsidR="006D1BB1" w:rsidRDefault="006D1BB1" w:rsidP="006D1BB1">
      <w:pPr>
        <w:pStyle w:val="ECCParagraph"/>
      </w:pPr>
      <w:r>
        <w:t xml:space="preserve">The main application field would be Air Passenger Communications (APC), e.g. WiFi or GSM based internet/company intranet access, data synchronization and voice communication. In addition the system could also support Airline Administrative Communications services (AAC), e.g. flight data, crew scheduling and lodging information, aircraft supply requirements (catering etc.), miscellaneous crew information and requests for medical assistance. The envisaged broadband DA2GC system is not intended to be used for safety-relevant communications such as Air Traffic Control (ATC) and related services. It should also be noted that in continental US an Air to Ground system has been established with more than 1.300 commercial aircrafts equipped so far </w:t>
      </w:r>
      <w:r>
        <w:rPr>
          <w:i/>
          <w:highlight w:val="yellow"/>
        </w:rPr>
        <w:t>[Editorial note: reference(s) to be provided by DT]</w:t>
      </w:r>
      <w:r>
        <w:t>.</w:t>
      </w:r>
    </w:p>
    <w:p w:rsidR="006D1BB1" w:rsidRDefault="006D1BB1" w:rsidP="006D1BB1">
      <w:pPr>
        <w:pStyle w:val="ECCParagraph"/>
      </w:pPr>
      <w:r>
        <w:t xml:space="preserve">There are other proposals in Europe for BDA2GC systems to be used in ISM bands using different technologies (see also section 3.7.3). </w:t>
      </w:r>
    </w:p>
    <w:p w:rsidR="006D1BB1" w:rsidRPr="006D1BB1" w:rsidRDefault="006D1BB1" w:rsidP="000F6780">
      <w:pPr>
        <w:pStyle w:val="Titre3"/>
        <w:numPr>
          <w:ilvl w:val="2"/>
          <w:numId w:val="19"/>
        </w:numPr>
        <w:rPr>
          <w:i/>
          <w:sz w:val="24"/>
          <w:szCs w:val="24"/>
        </w:rPr>
      </w:pPr>
      <w:bookmarkStart w:id="60" w:name="_Toc321318123"/>
      <w:bookmarkStart w:id="61" w:name="_Toc322126824"/>
      <w:r>
        <w:t>Justification</w:t>
      </w:r>
      <w:bookmarkEnd w:id="60"/>
      <w:bookmarkEnd w:id="61"/>
    </w:p>
    <w:p w:rsidR="006D1BB1" w:rsidRDefault="006D1BB1" w:rsidP="006D1BB1">
      <w:pPr>
        <w:pStyle w:val="ECCParagraph"/>
      </w:pPr>
      <w:r>
        <w:t>Mobile customers expect to be connected everywhere, every time, with all kind of mobile devices. A terrestrial BDA2GC system in Europe is proposed to be an alternative to the already existing satellite based services. A number of European airlines have great interest to offer internet services to their flight passengers in their continental fleets as soon as possible. The costs for the aircraft installation and maintenance are a key issue.</w:t>
      </w:r>
    </w:p>
    <w:p w:rsidR="006D1BB1" w:rsidRDefault="006D1BB1" w:rsidP="006D1BB1">
      <w:pPr>
        <w:pStyle w:val="ECCParagraph"/>
        <w:rPr>
          <w:lang w:val="en-US"/>
        </w:rPr>
      </w:pPr>
      <w:r>
        <w:rPr>
          <w:lang w:val="en-US"/>
        </w:rPr>
        <w:lastRenderedPageBreak/>
        <w:t>A forecast from Eurocontrol</w:t>
      </w:r>
      <w:r>
        <w:rPr>
          <w:vertAlign w:val="superscript"/>
          <w:lang w:val="en-US"/>
        </w:rPr>
        <w:footnoteReference w:id="17"/>
      </w:r>
      <w:r>
        <w:rPr>
          <w:lang w:val="en-US"/>
        </w:rPr>
        <w:t xml:space="preserve"> published in October 2011 estimates 11.5 million movements according Instrument Flight Rules (IFR) in Europe in 2017. This is 21% more than in 2010. Studies on air passenger demand for onboard connectivity are currently not publicly available</w:t>
      </w:r>
      <w:r>
        <w:rPr>
          <w:rStyle w:val="Appelnotedebasdep"/>
        </w:rPr>
        <w:footnoteReference w:id="18"/>
      </w:r>
      <w:r>
        <w:rPr>
          <w:lang w:val="en-US"/>
        </w:rPr>
        <w:t xml:space="preserve">. </w:t>
      </w:r>
    </w:p>
    <w:p w:rsidR="006D1BB1" w:rsidRDefault="006D1BB1" w:rsidP="006D1BB1">
      <w:pPr>
        <w:pStyle w:val="ECCParagraph"/>
      </w:pPr>
      <w:r>
        <w:t xml:space="preserve">Currently, there is no spectrum designated for  BDA2GC in Europe. In order to allow European citizens and airlines to derive social and economic benefits of the implementation of such a system, a spectrum designation on a Europe-wide basis would be necessary. </w:t>
      </w:r>
    </w:p>
    <w:p w:rsidR="006D1BB1" w:rsidRDefault="006D1BB1" w:rsidP="000F6780">
      <w:pPr>
        <w:pStyle w:val="Titre3"/>
        <w:numPr>
          <w:ilvl w:val="2"/>
          <w:numId w:val="19"/>
        </w:numPr>
      </w:pPr>
      <w:bookmarkStart w:id="62" w:name="_Toc321318124"/>
      <w:bookmarkStart w:id="63" w:name="_Toc322126825"/>
      <w:r>
        <w:t>Spectrum requirements</w:t>
      </w:r>
      <w:bookmarkEnd w:id="62"/>
      <w:bookmarkEnd w:id="63"/>
    </w:p>
    <w:p w:rsidR="006D1BB1" w:rsidRDefault="006D1BB1" w:rsidP="006D1BB1">
      <w:pPr>
        <w:pStyle w:val="ECCParagraph"/>
      </w:pPr>
      <w:r>
        <w:t xml:space="preserve">The spectrum demand for the BDA2GC system is derived from a summary of relevant factors to be essential to cope with future capacity demand as well as from results achieved by system performance evaluations. </w:t>
      </w:r>
    </w:p>
    <w:p w:rsidR="006D1BB1" w:rsidRDefault="006D1BB1" w:rsidP="006D1BB1">
      <w:pPr>
        <w:pStyle w:val="ECCParagraph"/>
      </w:pPr>
      <w:r>
        <w:t xml:space="preserve">WG FM agreed that for BDA2GC paired spectrum of 2 x 10 MHz for FDD operation is considered necessary to cope with short- to medium-term demand. Unpaired spectrum for TDD operation (20 MHz) would also be an option, but system performance would slightly suffer due to guard time intervals required for large cell sizes. </w:t>
      </w:r>
      <w:r>
        <w:rPr>
          <w:lang w:val="en-US"/>
        </w:rPr>
        <w:t xml:space="preserve">CEPT is looking to designate in total 20 MHz for </w:t>
      </w:r>
      <w:r>
        <w:t>BDA2GC</w:t>
      </w:r>
      <w:r>
        <w:rPr>
          <w:vertAlign w:val="superscript"/>
          <w:lang w:val="en-US"/>
        </w:rPr>
        <w:footnoteReference w:id="19"/>
      </w:r>
      <w:r>
        <w:rPr>
          <w:lang w:val="en-US"/>
        </w:rPr>
        <w:t>.</w:t>
      </w:r>
      <w:r>
        <w:rPr>
          <w:vertAlign w:val="superscript"/>
          <w:lang w:val="en-US"/>
        </w:rPr>
        <w:t xml:space="preserve"> </w:t>
      </w:r>
    </w:p>
    <w:p w:rsidR="006D1BB1" w:rsidRDefault="006D1BB1" w:rsidP="006D1BB1">
      <w:pPr>
        <w:pStyle w:val="ECCParagraph"/>
      </w:pPr>
      <w:r>
        <w:rPr>
          <w:lang w:val="en-US"/>
        </w:rPr>
        <w:t xml:space="preserve">The </w:t>
      </w:r>
      <w:r>
        <w:t>whole spectrum requirement of 2 x 10 MHz of paired spectrum for FDD or 20 MHz of unpaired spectrum for TDD operation or a part of it may be satisfied in the 1452-1492 MHz band.</w:t>
      </w:r>
    </w:p>
    <w:p w:rsidR="006D1BB1" w:rsidRDefault="006D1BB1" w:rsidP="006D1BB1">
      <w:r>
        <w:br w:type="page"/>
      </w:r>
    </w:p>
    <w:p w:rsidR="00E41E35" w:rsidRDefault="000F6780" w:rsidP="00E41E35">
      <w:pPr>
        <w:pStyle w:val="Titre1"/>
      </w:pPr>
      <w:bookmarkStart w:id="64" w:name="_Toc322126826"/>
      <w:r>
        <w:lastRenderedPageBreak/>
        <w:t>Criteria</w:t>
      </w:r>
      <w:bookmarkEnd w:id="64"/>
    </w:p>
    <w:p w:rsidR="00E41E35" w:rsidRPr="00E41E35" w:rsidRDefault="00E41E35" w:rsidP="00E41E35">
      <w:pPr>
        <w:pStyle w:val="Titre1"/>
      </w:pPr>
      <w:bookmarkStart w:id="65" w:name="_Toc322126827"/>
      <w:r>
        <w:lastRenderedPageBreak/>
        <w:t>Regulatory options</w:t>
      </w:r>
      <w:bookmarkEnd w:id="65"/>
    </w:p>
    <w:p w:rsidR="00E41E35" w:rsidRPr="00E41E35" w:rsidRDefault="00E41E35" w:rsidP="00E41E35">
      <w:pPr>
        <w:pStyle w:val="Titre2"/>
      </w:pPr>
      <w:bookmarkStart w:id="66" w:name="_Toc322126828"/>
      <w:r w:rsidRPr="00E41E35">
        <w:t>Least Restrictive Technical Conditions</w:t>
      </w:r>
      <w:bookmarkEnd w:id="66"/>
      <w:r w:rsidRPr="00E41E35">
        <w:t xml:space="preserve"> </w:t>
      </w:r>
    </w:p>
    <w:p w:rsidR="00E41E35" w:rsidRDefault="00E41E35" w:rsidP="00E41E35">
      <w:pPr>
        <w:pStyle w:val="ECCParagraph"/>
      </w:pPr>
      <w:r>
        <w:t>A technology and service neutral regulatory framework is implemented through the definition of Least Restrictive Technical Conditions (LRTCs) applicable to a band. The definition of LRTC allows to harmonise the technical conditions applicable to a band (and potentially enables equipment to benefit from economies of scale) while allowing flexibility at national level, as it is being done for instance for the 800 MHz spectrum (Digital Dividend).</w:t>
      </w:r>
    </w:p>
    <w:p w:rsidR="00E41E35" w:rsidRDefault="00E41E35" w:rsidP="00E41E35">
      <w:pPr>
        <w:pStyle w:val="ECCParagraph"/>
      </w:pPr>
      <w:r>
        <w:t>The definition of LRTCs is based on the principle that they solely address the technical compatibility issues:</w:t>
      </w:r>
    </w:p>
    <w:p w:rsidR="00E41E35" w:rsidRDefault="00E41E35" w:rsidP="000F6780">
      <w:pPr>
        <w:pStyle w:val="ECCParBulleted"/>
        <w:numPr>
          <w:ilvl w:val="0"/>
          <w:numId w:val="18"/>
        </w:numPr>
      </w:pPr>
      <w:r>
        <w:t>Case of adjacent frequency interference within a given geographical area of operation (in band and out-of-band interference)</w:t>
      </w:r>
    </w:p>
    <w:p w:rsidR="00E41E35" w:rsidRDefault="00E41E35" w:rsidP="000F6780">
      <w:pPr>
        <w:pStyle w:val="ECCParBulleted"/>
        <w:numPr>
          <w:ilvl w:val="0"/>
          <w:numId w:val="18"/>
        </w:numPr>
      </w:pPr>
      <w:r>
        <w:t>Case of co-frequency interference in adjacent geographical areas of operation</w:t>
      </w:r>
    </w:p>
    <w:p w:rsidR="00E41E35" w:rsidRDefault="00E41E35" w:rsidP="00E41E35">
      <w:pPr>
        <w:pStyle w:val="ECCParagraph"/>
      </w:pPr>
    </w:p>
    <w:p w:rsidR="00E41E35" w:rsidRDefault="00E41E35" w:rsidP="00E41E35">
      <w:pPr>
        <w:pStyle w:val="ECCParagraph"/>
      </w:pPr>
      <w:r>
        <w:t>The development of LRTCs should consider, where necessary, existing international and/or regional agreements. The LRTC developed in CEPT were based so far on the consideration of the compatibility of adjacent frequency interference within a given geographical area of operation.</w:t>
      </w:r>
    </w:p>
    <w:p w:rsidR="00E41E35" w:rsidRDefault="00E41E35" w:rsidP="00E41E35">
      <w:pPr>
        <w:pStyle w:val="ECCParagraph"/>
      </w:pPr>
      <w:r>
        <w:t xml:space="preserve">LRTC enables authorised users of the band to deploy any application, provided such deployment respects the technical conditions set out in the LRTC. This kind of regulatory regime provides clear conditions of co-existence for users of other frequency blocks in the same band as well as users in adjacent frequency bands. The emissions allowed at block/band edges are stable and well known over time. Operators and regulators also benefit from the maximum possible flexibility to determine the use(s) of the band. </w:t>
      </w:r>
    </w:p>
    <w:p w:rsidR="00E41E35" w:rsidRPr="000F6780" w:rsidRDefault="00E41E35" w:rsidP="000F6780">
      <w:pPr>
        <w:pStyle w:val="Titre3"/>
        <w:rPr>
          <w:rStyle w:val="Titredulivre"/>
          <w:bCs w:val="0"/>
          <w:smallCaps w:val="0"/>
          <w:spacing w:val="0"/>
        </w:rPr>
      </w:pPr>
      <w:bookmarkStart w:id="67" w:name="_Toc322126829"/>
      <w:r w:rsidRPr="000F6780">
        <w:rPr>
          <w:rStyle w:val="Titredulivre"/>
          <w:bCs w:val="0"/>
          <w:smallCaps w:val="0"/>
          <w:spacing w:val="0"/>
        </w:rPr>
        <w:t>ECC experience with LRTCs</w:t>
      </w:r>
      <w:bookmarkEnd w:id="67"/>
    </w:p>
    <w:p w:rsidR="00E41E35" w:rsidRDefault="00E41E35" w:rsidP="00E41E35">
      <w:pPr>
        <w:pStyle w:val="ECCParagraph"/>
      </w:pPr>
      <w:r>
        <w:t>The ECC has a significant experience in the development of LRTCs. LRTCs have been developed for several applications in several bands.</w:t>
      </w:r>
    </w:p>
    <w:p w:rsidR="00E41E35" w:rsidRDefault="00E41E35" w:rsidP="00E41E35">
      <w:pPr>
        <w:pStyle w:val="ECCParagraph"/>
      </w:pPr>
      <w:r>
        <w:t>The CEPT Report 19 [</w:t>
      </w:r>
      <w:r>
        <w:rPr>
          <w:highlight w:val="yellow"/>
        </w:rPr>
        <w:t>ref</w:t>
      </w:r>
      <w:r>
        <w:t>] studied the applicability of LRTCs and developed LRTCs applicable to frequency bands addressed in the context of WAPECS in a number of bands (in particular 3.4-3.8 GHz and 2500-2690 MHz). The report notes, inter alia, that coexistence between two WAPECS blocks using the same frequency in geographically separated areas can for instance be determined by the use of field strength, and that a frequency separation of 5 MHz is needed between an FDD uplink block or unsynchronised TDD block with another TDD block operating in the same geographical area.</w:t>
      </w:r>
    </w:p>
    <w:p w:rsidR="00E41E35" w:rsidRDefault="00E41E35" w:rsidP="00E41E35">
      <w:pPr>
        <w:pStyle w:val="ECCParagraph"/>
      </w:pPr>
      <w:r>
        <w:t>The CEPT Report 30 [</w:t>
      </w:r>
      <w:r>
        <w:rPr>
          <w:highlight w:val="yellow"/>
        </w:rPr>
        <w:t>ref</w:t>
      </w:r>
      <w:r>
        <w:t xml:space="preserve">] developed LRTCs for both Electronic Communication networks (ECNs), PMSE applications and low power applications in the band 790-862 MHz. It should be noted that the CEPT Report 30 [Editorial, add reference] relied on studies and conclusions from the CEPT Report 23 [Editorial, add reference] and CEPT Report 29 [Editorial, add reference] which were studying the general coexistence issues in the band 470-862 MHz. </w:t>
      </w:r>
    </w:p>
    <w:p w:rsidR="00E41E35" w:rsidRDefault="00E41E35" w:rsidP="00E41E35">
      <w:pPr>
        <w:pStyle w:val="ECCParagraph"/>
      </w:pPr>
      <w:r>
        <w:t>The CEPT Report 39 [</w:t>
      </w:r>
      <w:r>
        <w:rPr>
          <w:highlight w:val="yellow"/>
        </w:rPr>
        <w:t>ref</w:t>
      </w:r>
      <w:r>
        <w:t>] developed LRTCs for Electronic Communication networks (ECNs) and low power applications in the 2 GHz bands (i.e. in the bands 1920-1980 MHz paired with 2110-2170 MHz as well as in the bands 1900-1920 MHz and 2010-2025 MHz).</w:t>
      </w:r>
    </w:p>
    <w:p w:rsidR="00E41E35" w:rsidRDefault="00E41E35" w:rsidP="00E41E35">
      <w:pPr>
        <w:rPr>
          <w:rFonts w:cs="Arial"/>
          <w:szCs w:val="22"/>
        </w:rPr>
      </w:pPr>
      <w:r>
        <w:rPr>
          <w:rFonts w:cs="Arial"/>
          <w:szCs w:val="22"/>
        </w:rPr>
        <w:t>The ECC Report 131 [</w:t>
      </w:r>
      <w:r>
        <w:rPr>
          <w:highlight w:val="yellow"/>
        </w:rPr>
        <w:t>ref</w:t>
      </w:r>
      <w:r>
        <w:rPr>
          <w:rFonts w:cs="Arial"/>
          <w:szCs w:val="22"/>
        </w:rPr>
        <w:t xml:space="preserve">] studied the coexistence issues between terminals deployed under LRTCs in the band 2500-2690 MHz. </w:t>
      </w:r>
    </w:p>
    <w:p w:rsidR="00E41E35" w:rsidRDefault="00E41E35" w:rsidP="00E41E35">
      <w:pPr>
        <w:rPr>
          <w:rFonts w:cs="Arial"/>
          <w:szCs w:val="22"/>
        </w:rPr>
      </w:pPr>
    </w:p>
    <w:p w:rsidR="00E41E35" w:rsidRDefault="00E41E35" w:rsidP="00E41E35">
      <w:pPr>
        <w:spacing w:after="60"/>
        <w:rPr>
          <w:rFonts w:cs="Arial"/>
          <w:szCs w:val="22"/>
        </w:rPr>
      </w:pPr>
      <w:r>
        <w:rPr>
          <w:rFonts w:cs="Arial"/>
          <w:szCs w:val="22"/>
        </w:rPr>
        <w:t>From the above Reports, it can be noted that:</w:t>
      </w:r>
    </w:p>
    <w:p w:rsidR="00E41E35" w:rsidRDefault="00E41E35" w:rsidP="000F6780">
      <w:pPr>
        <w:pStyle w:val="ECCParBulleted"/>
        <w:numPr>
          <w:ilvl w:val="0"/>
          <w:numId w:val="18"/>
        </w:numPr>
      </w:pPr>
      <w:r>
        <w:lastRenderedPageBreak/>
        <w:t>Block Edge Masks (BEMs) combined with a harmonised band plan are the preferred option, and the only option selected so far, to implement LRTCs, i.e. to control adjacent frequency interference (both within the band and at the edge of the band);</w:t>
      </w:r>
    </w:p>
    <w:p w:rsidR="00E41E35" w:rsidRDefault="00E41E35" w:rsidP="000F6780">
      <w:pPr>
        <w:pStyle w:val="ECCParBulleted"/>
        <w:numPr>
          <w:ilvl w:val="0"/>
          <w:numId w:val="18"/>
        </w:numPr>
      </w:pPr>
      <w:r>
        <w:t>CEPT Report 19 indicated that the aggregate PFD model or field strength is suitable to address scenarios related to co-frequency compatibility in geographically different service areas. However, this was not implemented up to now.</w:t>
      </w:r>
    </w:p>
    <w:p w:rsidR="00E41E35" w:rsidRDefault="00E41E35" w:rsidP="000F6780">
      <w:pPr>
        <w:pStyle w:val="ECCParBulleted"/>
        <w:numPr>
          <w:ilvl w:val="0"/>
          <w:numId w:val="18"/>
        </w:numPr>
      </w:pPr>
      <w:r>
        <w:t>Establishing LRTCs rely on the selection of a reference system (network scenario, receiver performance, etc). However, BEMs have been developed for high level groups gathering a large number of applications. It is likely that LRTCs for co-frequency sharing can be developed for such high level groups. This is detailed in the following section.</w:t>
      </w:r>
    </w:p>
    <w:p w:rsidR="00E41E35" w:rsidRDefault="00E41E35" w:rsidP="00E41E35">
      <w:pPr>
        <w:rPr>
          <w:rFonts w:cs="Arial"/>
          <w:szCs w:val="22"/>
        </w:rPr>
      </w:pPr>
      <w:r>
        <w:rPr>
          <w:rFonts w:cs="Arial"/>
          <w:szCs w:val="22"/>
        </w:rPr>
        <w:t xml:space="preserve">  </w:t>
      </w:r>
    </w:p>
    <w:p w:rsidR="00E41E35" w:rsidRDefault="00E41E35" w:rsidP="00E41E35">
      <w:pPr>
        <w:rPr>
          <w:rFonts w:cs="Arial"/>
          <w:szCs w:val="22"/>
        </w:rPr>
      </w:pPr>
      <w:r>
        <w:rPr>
          <w:rFonts w:cs="Arial"/>
          <w:szCs w:val="22"/>
        </w:rPr>
        <w:t>It is not the purpose of this Report to establish the technical detail of appropriate LRTCs however a general LRTC framework can be derived from past CEPT experience in developing BEMs.</w:t>
      </w:r>
    </w:p>
    <w:p w:rsidR="00E41E35" w:rsidRDefault="00E41E35" w:rsidP="00E41E35">
      <w:pPr>
        <w:rPr>
          <w:rFonts w:cs="Arial"/>
          <w:szCs w:val="22"/>
        </w:rPr>
      </w:pPr>
    </w:p>
    <w:p w:rsidR="00E41E35" w:rsidRDefault="00E41E35" w:rsidP="00E41E35">
      <w:pPr>
        <w:jc w:val="both"/>
        <w:rPr>
          <w:rFonts w:cs="Arial"/>
          <w:szCs w:val="22"/>
        </w:rPr>
      </w:pPr>
      <w:r>
        <w:rPr>
          <w:rFonts w:cs="Arial"/>
          <w:szCs w:val="22"/>
        </w:rPr>
        <w:t xml:space="preserve">CEPT has some experience in developing BEM, however, the practical experience relating to the implementation of this concept is still limited (ECC PT1(11)119 Annex 12 – Position paper on LRTC feedback / see also the ECC PT1 work programme at </w:t>
      </w:r>
      <w:hyperlink r:id="rId16" w:history="1">
        <w:r>
          <w:rPr>
            <w:rStyle w:val="Lienhypertexte"/>
            <w:rFonts w:cs="Arial"/>
            <w:szCs w:val="22"/>
          </w:rPr>
          <w:t>http://eccwp.cept.org/default.aspx?group=17</w:t>
        </w:r>
      </w:hyperlink>
      <w:r>
        <w:rPr>
          <w:rFonts w:cs="Arial"/>
          <w:szCs w:val="22"/>
        </w:rPr>
        <w:t xml:space="preserve"> - </w:t>
      </w:r>
      <w:r>
        <w:rPr>
          <w:rFonts w:cs="Arial"/>
          <w:color w:val="000000"/>
          <w:sz w:val="18"/>
          <w:szCs w:val="18"/>
        </w:rPr>
        <w:t>800_2600_3500MHz_1_C</w:t>
      </w:r>
      <w:r>
        <w:rPr>
          <w:rFonts w:cs="Arial"/>
          <w:szCs w:val="22"/>
        </w:rPr>
        <w:t>).</w:t>
      </w:r>
    </w:p>
    <w:p w:rsidR="00E41E35" w:rsidRDefault="007E42E6" w:rsidP="000F6780">
      <w:pPr>
        <w:pStyle w:val="Titre3"/>
      </w:pPr>
      <w:bookmarkStart w:id="68" w:name="_Toc322126830"/>
      <w:r>
        <w:t>Po</w:t>
      </w:r>
      <w:r w:rsidR="00E41E35">
        <w:t>ssible sets of LRTC to be developed</w:t>
      </w:r>
      <w:bookmarkEnd w:id="68"/>
    </w:p>
    <w:p w:rsidR="00E41E35" w:rsidRDefault="00E41E35" w:rsidP="00E41E35">
      <w:pPr>
        <w:pStyle w:val="ECCParagraph"/>
      </w:pPr>
      <w:r>
        <w:t>By reviewing the applications under consideration, it can be established that the platforms that deliver those applications are satellite-based, terrestrial-based or airborne-based.</w:t>
      </w:r>
    </w:p>
    <w:p w:rsidR="00E41E35" w:rsidRDefault="00E41E35" w:rsidP="007E42E6">
      <w:pPr>
        <w:pStyle w:val="ECCTabletitle"/>
      </w:pPr>
      <w:r>
        <w:t>Platform to deliver the applications under considerations</w:t>
      </w:r>
    </w:p>
    <w:tbl>
      <w:tblPr>
        <w:tblW w:w="946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786"/>
        <w:gridCol w:w="1701"/>
        <w:gridCol w:w="1559"/>
        <w:gridCol w:w="1418"/>
      </w:tblGrid>
      <w:tr w:rsidR="00E41E35" w:rsidTr="00E41E35">
        <w:trPr>
          <w:tblHeader/>
        </w:trPr>
        <w:tc>
          <w:tcPr>
            <w:tcW w:w="4786" w:type="dxa"/>
            <w:tcBorders>
              <w:top w:val="single" w:sz="4" w:space="0" w:color="D2232A"/>
              <w:left w:val="single" w:sz="4" w:space="0" w:color="D2232A"/>
              <w:bottom w:val="single" w:sz="4" w:space="0" w:color="D2232A"/>
              <w:right w:val="single" w:sz="8" w:space="0" w:color="FFFFFF"/>
            </w:tcBorders>
            <w:shd w:val="clear" w:color="auto" w:fill="D2232A"/>
            <w:vAlign w:val="center"/>
            <w:hideMark/>
          </w:tcPr>
          <w:p w:rsidR="00E41E35" w:rsidRDefault="00E41E35">
            <w:pPr>
              <w:spacing w:line="288" w:lineRule="auto"/>
              <w:jc w:val="center"/>
              <w:rPr>
                <w:b/>
                <w:color w:val="FFFFFF"/>
              </w:rPr>
            </w:pPr>
            <w:r>
              <w:rPr>
                <w:b/>
                <w:color w:val="FFFFFF"/>
              </w:rPr>
              <w:t>Candidate Application</w:t>
            </w:r>
          </w:p>
        </w:tc>
        <w:tc>
          <w:tcPr>
            <w:tcW w:w="1701" w:type="dxa"/>
            <w:tcBorders>
              <w:top w:val="single" w:sz="4" w:space="0" w:color="D2232A"/>
              <w:left w:val="single" w:sz="8" w:space="0" w:color="FFFFFF"/>
              <w:bottom w:val="single" w:sz="4" w:space="0" w:color="D2232A"/>
              <w:right w:val="single" w:sz="8" w:space="0" w:color="FFFFFF"/>
            </w:tcBorders>
            <w:shd w:val="clear" w:color="auto" w:fill="D2232A"/>
            <w:vAlign w:val="center"/>
            <w:hideMark/>
          </w:tcPr>
          <w:p w:rsidR="00E41E35" w:rsidRDefault="00E41E35">
            <w:pPr>
              <w:spacing w:line="288" w:lineRule="auto"/>
              <w:jc w:val="center"/>
              <w:rPr>
                <w:b/>
                <w:color w:val="FFFFFF"/>
              </w:rPr>
            </w:pPr>
            <w:r>
              <w:rPr>
                <w:b/>
                <w:color w:val="FFFFFF"/>
              </w:rPr>
              <w:t>Satellite (inc. Terrestrial Component)</w:t>
            </w:r>
          </w:p>
        </w:tc>
        <w:tc>
          <w:tcPr>
            <w:tcW w:w="1559"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E41E35" w:rsidRDefault="00E41E35">
            <w:pPr>
              <w:spacing w:line="288" w:lineRule="auto"/>
              <w:jc w:val="center"/>
              <w:rPr>
                <w:b/>
                <w:color w:val="FFFFFF"/>
              </w:rPr>
            </w:pPr>
            <w:r>
              <w:rPr>
                <w:b/>
                <w:color w:val="FFFFFF"/>
              </w:rPr>
              <w:t>Terrestrial</w:t>
            </w:r>
          </w:p>
        </w:tc>
        <w:tc>
          <w:tcPr>
            <w:tcW w:w="1418" w:type="dxa"/>
            <w:tcBorders>
              <w:top w:val="single" w:sz="4" w:space="0" w:color="D2232A"/>
              <w:left w:val="single" w:sz="8" w:space="0" w:color="FFFFFF"/>
              <w:bottom w:val="single" w:sz="4" w:space="0" w:color="D2232A"/>
              <w:right w:val="single" w:sz="4" w:space="0" w:color="D2232A"/>
            </w:tcBorders>
            <w:shd w:val="clear" w:color="auto" w:fill="D2232A"/>
            <w:vAlign w:val="center"/>
            <w:hideMark/>
          </w:tcPr>
          <w:p w:rsidR="00E41E35" w:rsidRDefault="00E41E35">
            <w:pPr>
              <w:spacing w:line="288" w:lineRule="auto"/>
              <w:jc w:val="center"/>
              <w:rPr>
                <w:b/>
                <w:color w:val="FFFFFF"/>
              </w:rPr>
            </w:pPr>
            <w:r>
              <w:rPr>
                <w:b/>
                <w:color w:val="FFFFFF"/>
              </w:rPr>
              <w:t>Airborne</w:t>
            </w: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Terrestrial Broadcasting</w:t>
            </w:r>
          </w:p>
        </w:tc>
        <w:tc>
          <w:tcPr>
            <w:tcW w:w="1701" w:type="dxa"/>
            <w:tcBorders>
              <w:top w:val="single" w:sz="4" w:space="0" w:color="D2232A"/>
              <w:left w:val="single" w:sz="4" w:space="0" w:color="D2232A"/>
              <w:bottom w:val="single" w:sz="4" w:space="0" w:color="D2232A"/>
              <w:right w:val="single" w:sz="4" w:space="0" w:color="D2232A"/>
            </w:tcBorders>
          </w:tcPr>
          <w:p w:rsidR="00E41E35" w:rsidRDefault="00E41E35">
            <w:pPr>
              <w:spacing w:line="276" w:lineRule="auto"/>
              <w:jc w:val="center"/>
            </w:pPr>
          </w:p>
        </w:tc>
        <w:tc>
          <w:tcPr>
            <w:tcW w:w="1559" w:type="dxa"/>
            <w:tcBorders>
              <w:top w:val="single" w:sz="4" w:space="0" w:color="D2232A"/>
              <w:left w:val="single" w:sz="4" w:space="0" w:color="D2232A"/>
              <w:bottom w:val="single" w:sz="4" w:space="0" w:color="D2232A"/>
              <w:right w:val="single" w:sz="4" w:space="0" w:color="D2232A"/>
            </w:tcBorders>
            <w:hideMark/>
          </w:tcPr>
          <w:p w:rsidR="00E41E35" w:rsidRDefault="00E41E35">
            <w:pPr>
              <w:autoSpaceDE w:val="0"/>
              <w:snapToGrid w:val="0"/>
              <w:spacing w:line="276" w:lineRule="auto"/>
              <w:jc w:val="center"/>
              <w:rPr>
                <w:rFonts w:cs="Arial"/>
                <w:sz w:val="22"/>
                <w:lang w:val="en-GB" w:eastAsia="de-DE"/>
              </w:rPr>
            </w:pPr>
            <w:r>
              <w:rPr>
                <w:rFonts w:cs="Arial"/>
                <w:sz w:val="26"/>
                <w:szCs w:val="26"/>
                <w:lang w:eastAsia="ar-SA"/>
              </w:rPr>
              <w:t>■</w:t>
            </w:r>
          </w:p>
        </w:tc>
        <w:tc>
          <w:tcPr>
            <w:tcW w:w="1418" w:type="dxa"/>
            <w:tcBorders>
              <w:top w:val="single" w:sz="4" w:space="0" w:color="D2232A"/>
              <w:left w:val="single" w:sz="4" w:space="0" w:color="D2232A"/>
              <w:bottom w:val="single" w:sz="4" w:space="0" w:color="D2232A"/>
              <w:right w:val="single" w:sz="4" w:space="0" w:color="D2232A"/>
            </w:tcBorders>
            <w:vAlign w:val="center"/>
          </w:tcPr>
          <w:p w:rsidR="00E41E35" w:rsidRDefault="00E41E35">
            <w:pPr>
              <w:spacing w:line="288" w:lineRule="auto"/>
            </w:pP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Mobile Broadband</w:t>
            </w:r>
          </w:p>
        </w:tc>
        <w:tc>
          <w:tcPr>
            <w:tcW w:w="1701" w:type="dxa"/>
            <w:tcBorders>
              <w:top w:val="single" w:sz="4" w:space="0" w:color="D2232A"/>
              <w:left w:val="single" w:sz="4" w:space="0" w:color="D2232A"/>
              <w:bottom w:val="single" w:sz="4" w:space="0" w:color="D2232A"/>
              <w:right w:val="single" w:sz="4" w:space="0" w:color="D2232A"/>
            </w:tcBorders>
          </w:tcPr>
          <w:p w:rsidR="00E41E35" w:rsidRDefault="00E41E35">
            <w:pPr>
              <w:spacing w:line="276" w:lineRule="auto"/>
              <w:jc w:val="center"/>
            </w:pPr>
          </w:p>
        </w:tc>
        <w:tc>
          <w:tcPr>
            <w:tcW w:w="1559" w:type="dxa"/>
            <w:tcBorders>
              <w:top w:val="single" w:sz="4" w:space="0" w:color="D2232A"/>
              <w:left w:val="single" w:sz="4" w:space="0" w:color="D2232A"/>
              <w:bottom w:val="single" w:sz="4" w:space="0" w:color="D2232A"/>
              <w:right w:val="single" w:sz="4" w:space="0" w:color="D2232A"/>
            </w:tcBorders>
            <w:hideMark/>
          </w:tcPr>
          <w:p w:rsidR="00E41E35" w:rsidRDefault="00E41E35">
            <w:pPr>
              <w:pStyle w:val="TableContents"/>
              <w:snapToGrid w:val="0"/>
              <w:spacing w:line="276" w:lineRule="auto"/>
              <w:jc w:val="center"/>
              <w:rPr>
                <w:rFonts w:ascii="Arial" w:hAnsi="Arial" w:cs="Arial"/>
                <w:sz w:val="22"/>
              </w:rPr>
            </w:pPr>
            <w:r>
              <w:rPr>
                <w:rFonts w:ascii="Arial" w:hAnsi="Arial" w:cs="Arial"/>
                <w:sz w:val="26"/>
                <w:szCs w:val="26"/>
                <w:lang w:eastAsia="ar-SA" w:bidi="ar-SA"/>
              </w:rPr>
              <w:t>■</w:t>
            </w:r>
          </w:p>
        </w:tc>
        <w:tc>
          <w:tcPr>
            <w:tcW w:w="1418" w:type="dxa"/>
            <w:tcBorders>
              <w:top w:val="single" w:sz="4" w:space="0" w:color="D2232A"/>
              <w:left w:val="single" w:sz="4" w:space="0" w:color="D2232A"/>
              <w:bottom w:val="single" w:sz="4" w:space="0" w:color="D2232A"/>
              <w:right w:val="single" w:sz="4" w:space="0" w:color="D2232A"/>
            </w:tcBorders>
            <w:vAlign w:val="center"/>
          </w:tcPr>
          <w:p w:rsidR="00E41E35" w:rsidRDefault="00E41E35">
            <w:pPr>
              <w:spacing w:line="288" w:lineRule="auto"/>
            </w:pP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Mobile SDL</w:t>
            </w:r>
          </w:p>
        </w:tc>
        <w:tc>
          <w:tcPr>
            <w:tcW w:w="1701" w:type="dxa"/>
            <w:tcBorders>
              <w:top w:val="single" w:sz="4" w:space="0" w:color="D2232A"/>
              <w:left w:val="single" w:sz="4" w:space="0" w:color="D2232A"/>
              <w:bottom w:val="single" w:sz="4" w:space="0" w:color="D2232A"/>
              <w:right w:val="single" w:sz="4" w:space="0" w:color="D2232A"/>
            </w:tcBorders>
          </w:tcPr>
          <w:p w:rsidR="00E41E35" w:rsidRDefault="00E41E35">
            <w:pPr>
              <w:spacing w:line="276" w:lineRule="auto"/>
              <w:jc w:val="center"/>
            </w:pPr>
          </w:p>
        </w:tc>
        <w:tc>
          <w:tcPr>
            <w:tcW w:w="1559" w:type="dxa"/>
            <w:tcBorders>
              <w:top w:val="single" w:sz="4" w:space="0" w:color="D2232A"/>
              <w:left w:val="single" w:sz="4" w:space="0" w:color="D2232A"/>
              <w:bottom w:val="single" w:sz="4" w:space="0" w:color="D2232A"/>
              <w:right w:val="single" w:sz="4" w:space="0" w:color="D2232A"/>
            </w:tcBorders>
            <w:hideMark/>
          </w:tcPr>
          <w:p w:rsidR="00E41E35" w:rsidRDefault="00E41E35">
            <w:pPr>
              <w:pStyle w:val="TableContents"/>
              <w:snapToGrid w:val="0"/>
              <w:spacing w:line="276" w:lineRule="auto"/>
              <w:jc w:val="center"/>
              <w:rPr>
                <w:rFonts w:ascii="Arial" w:hAnsi="Arial" w:cs="Arial"/>
                <w:sz w:val="22"/>
              </w:rPr>
            </w:pPr>
            <w:r>
              <w:rPr>
                <w:rFonts w:ascii="Arial" w:hAnsi="Arial" w:cs="Arial"/>
                <w:sz w:val="26"/>
                <w:szCs w:val="26"/>
                <w:lang w:eastAsia="ar-SA" w:bidi="ar-SA"/>
              </w:rPr>
              <w:t>■</w:t>
            </w:r>
          </w:p>
        </w:tc>
        <w:tc>
          <w:tcPr>
            <w:tcW w:w="1418" w:type="dxa"/>
            <w:tcBorders>
              <w:top w:val="single" w:sz="4" w:space="0" w:color="D2232A"/>
              <w:left w:val="single" w:sz="4" w:space="0" w:color="D2232A"/>
              <w:bottom w:val="single" w:sz="4" w:space="0" w:color="D2232A"/>
              <w:right w:val="single" w:sz="4" w:space="0" w:color="D2232A"/>
            </w:tcBorders>
            <w:vAlign w:val="center"/>
          </w:tcPr>
          <w:p w:rsidR="00E41E35" w:rsidRDefault="00E41E35">
            <w:pPr>
              <w:spacing w:line="288" w:lineRule="auto"/>
            </w:pP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 xml:space="preserve">Satellite Digital Audio Broadcasting </w:t>
            </w:r>
          </w:p>
        </w:tc>
        <w:tc>
          <w:tcPr>
            <w:tcW w:w="1701" w:type="dxa"/>
            <w:tcBorders>
              <w:top w:val="single" w:sz="4" w:space="0" w:color="D2232A"/>
              <w:left w:val="single" w:sz="4" w:space="0" w:color="D2232A"/>
              <w:bottom w:val="single" w:sz="4" w:space="0" w:color="D2232A"/>
              <w:right w:val="single" w:sz="4" w:space="0" w:color="D2232A"/>
            </w:tcBorders>
            <w:hideMark/>
          </w:tcPr>
          <w:p w:rsidR="00E41E35" w:rsidRDefault="00E41E35">
            <w:pPr>
              <w:pStyle w:val="TableContents"/>
              <w:snapToGrid w:val="0"/>
              <w:spacing w:line="276" w:lineRule="auto"/>
              <w:jc w:val="center"/>
              <w:rPr>
                <w:rFonts w:ascii="Arial" w:hAnsi="Arial" w:cs="Arial"/>
                <w:sz w:val="22"/>
              </w:rPr>
            </w:pPr>
            <w:r>
              <w:rPr>
                <w:rFonts w:ascii="Arial" w:hAnsi="Arial" w:cs="Arial"/>
                <w:sz w:val="26"/>
                <w:szCs w:val="26"/>
                <w:lang w:eastAsia="ar-SA" w:bidi="ar-SA"/>
              </w:rPr>
              <w:t>■</w:t>
            </w:r>
          </w:p>
        </w:tc>
        <w:tc>
          <w:tcPr>
            <w:tcW w:w="1559"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rFonts w:ascii="Arial" w:hAnsi="Arial" w:cs="Arial"/>
                <w:sz w:val="22"/>
              </w:rPr>
            </w:pPr>
          </w:p>
        </w:tc>
        <w:tc>
          <w:tcPr>
            <w:tcW w:w="1418" w:type="dxa"/>
            <w:tcBorders>
              <w:top w:val="single" w:sz="4" w:space="0" w:color="D2232A"/>
              <w:left w:val="single" w:sz="4" w:space="0" w:color="D2232A"/>
              <w:bottom w:val="single" w:sz="4" w:space="0" w:color="D2232A"/>
              <w:right w:val="single" w:sz="4" w:space="0" w:color="D2232A"/>
            </w:tcBorders>
            <w:vAlign w:val="center"/>
          </w:tcPr>
          <w:p w:rsidR="00E41E35" w:rsidRDefault="00E41E35">
            <w:pPr>
              <w:spacing w:line="288" w:lineRule="auto"/>
            </w:pP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Programme Making and Special Events (PMSE)</w:t>
            </w:r>
          </w:p>
        </w:tc>
        <w:tc>
          <w:tcPr>
            <w:tcW w:w="1701"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rFonts w:ascii="Arial" w:hAnsi="Arial" w:cs="Arial"/>
                <w:sz w:val="22"/>
              </w:rPr>
            </w:pPr>
          </w:p>
        </w:tc>
        <w:tc>
          <w:tcPr>
            <w:tcW w:w="1559" w:type="dxa"/>
            <w:tcBorders>
              <w:top w:val="single" w:sz="4" w:space="0" w:color="D2232A"/>
              <w:left w:val="single" w:sz="4" w:space="0" w:color="D2232A"/>
              <w:bottom w:val="single" w:sz="4" w:space="0" w:color="D2232A"/>
              <w:right w:val="single" w:sz="4" w:space="0" w:color="D2232A"/>
            </w:tcBorders>
            <w:hideMark/>
          </w:tcPr>
          <w:p w:rsidR="00E41E35" w:rsidRDefault="00E41E35">
            <w:pPr>
              <w:pStyle w:val="TableContents"/>
              <w:snapToGrid w:val="0"/>
              <w:spacing w:line="276" w:lineRule="auto"/>
              <w:jc w:val="center"/>
              <w:rPr>
                <w:rFonts w:ascii="Arial" w:hAnsi="Arial" w:cs="Arial"/>
                <w:sz w:val="22"/>
              </w:rPr>
            </w:pPr>
            <w:r>
              <w:rPr>
                <w:rFonts w:ascii="Arial" w:hAnsi="Arial" w:cs="Arial"/>
                <w:sz w:val="26"/>
                <w:szCs w:val="26"/>
                <w:lang w:eastAsia="ar-SA" w:bidi="ar-SA"/>
              </w:rPr>
              <w:t xml:space="preserve">■ </w:t>
            </w:r>
          </w:p>
        </w:tc>
        <w:tc>
          <w:tcPr>
            <w:tcW w:w="1418"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rFonts w:ascii="Arial" w:hAnsi="Arial" w:cs="Arial"/>
                <w:sz w:val="26"/>
                <w:szCs w:val="26"/>
                <w:lang w:eastAsia="ar-SA" w:bidi="ar-SA"/>
              </w:rPr>
            </w:pP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Public Protection and Disaster Relief (PPDR)</w:t>
            </w:r>
          </w:p>
        </w:tc>
        <w:tc>
          <w:tcPr>
            <w:tcW w:w="1701"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rFonts w:ascii="Arial" w:hAnsi="Arial" w:cs="Arial"/>
                <w:sz w:val="22"/>
              </w:rPr>
            </w:pPr>
          </w:p>
        </w:tc>
        <w:tc>
          <w:tcPr>
            <w:tcW w:w="1559" w:type="dxa"/>
            <w:tcBorders>
              <w:top w:val="single" w:sz="4" w:space="0" w:color="D2232A"/>
              <w:left w:val="single" w:sz="4" w:space="0" w:color="D2232A"/>
              <w:bottom w:val="single" w:sz="4" w:space="0" w:color="D2232A"/>
              <w:right w:val="single" w:sz="4" w:space="0" w:color="D2232A"/>
            </w:tcBorders>
            <w:hideMark/>
          </w:tcPr>
          <w:p w:rsidR="00E41E35" w:rsidRDefault="00E41E35">
            <w:pPr>
              <w:pStyle w:val="TableContents"/>
              <w:snapToGrid w:val="0"/>
              <w:spacing w:line="276" w:lineRule="auto"/>
              <w:jc w:val="center"/>
              <w:rPr>
                <w:rFonts w:ascii="Arial" w:hAnsi="Arial" w:cs="Arial"/>
                <w:sz w:val="22"/>
              </w:rPr>
            </w:pPr>
            <w:r>
              <w:rPr>
                <w:rFonts w:ascii="Arial" w:hAnsi="Arial" w:cs="Arial"/>
                <w:sz w:val="26"/>
                <w:szCs w:val="26"/>
                <w:lang w:eastAsia="ar-SA" w:bidi="ar-SA"/>
              </w:rPr>
              <w:t>■</w:t>
            </w:r>
          </w:p>
        </w:tc>
        <w:tc>
          <w:tcPr>
            <w:tcW w:w="1418"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rFonts w:ascii="Arial" w:hAnsi="Arial" w:cs="Arial"/>
                <w:sz w:val="26"/>
                <w:szCs w:val="26"/>
                <w:lang w:eastAsia="ar-SA" w:bidi="ar-SA"/>
              </w:rPr>
            </w:pPr>
          </w:p>
        </w:tc>
      </w:tr>
      <w:tr w:rsidR="00E41E35" w:rsidTr="00E41E35">
        <w:tc>
          <w:tcPr>
            <w:tcW w:w="4786" w:type="dxa"/>
            <w:tcBorders>
              <w:top w:val="single" w:sz="4" w:space="0" w:color="D2232A"/>
              <w:left w:val="single" w:sz="4" w:space="0" w:color="D2232A"/>
              <w:bottom w:val="single" w:sz="4" w:space="0" w:color="D2232A"/>
              <w:right w:val="single" w:sz="4" w:space="0" w:color="D2232A"/>
            </w:tcBorders>
            <w:hideMark/>
          </w:tcPr>
          <w:p w:rsidR="00E41E35" w:rsidRDefault="00E41E35">
            <w:pPr>
              <w:spacing w:line="276" w:lineRule="auto"/>
            </w:pPr>
            <w:r>
              <w:t>Broadband Direct-Air-to-Ground Communications</w:t>
            </w:r>
          </w:p>
        </w:tc>
        <w:tc>
          <w:tcPr>
            <w:tcW w:w="1701"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rFonts w:ascii="Arial" w:hAnsi="Arial" w:cs="Arial"/>
                <w:sz w:val="22"/>
              </w:rPr>
            </w:pPr>
          </w:p>
        </w:tc>
        <w:tc>
          <w:tcPr>
            <w:tcW w:w="1559" w:type="dxa"/>
            <w:tcBorders>
              <w:top w:val="single" w:sz="4" w:space="0" w:color="D2232A"/>
              <w:left w:val="single" w:sz="4" w:space="0" w:color="D2232A"/>
              <w:bottom w:val="single" w:sz="4" w:space="0" w:color="D2232A"/>
              <w:right w:val="single" w:sz="4" w:space="0" w:color="D2232A"/>
            </w:tcBorders>
          </w:tcPr>
          <w:p w:rsidR="00E41E35" w:rsidRDefault="00E41E35">
            <w:pPr>
              <w:pStyle w:val="TableContents"/>
              <w:snapToGrid w:val="0"/>
              <w:spacing w:line="276" w:lineRule="auto"/>
              <w:jc w:val="center"/>
              <w:rPr>
                <w:sz w:val="22"/>
              </w:rPr>
            </w:pPr>
          </w:p>
        </w:tc>
        <w:tc>
          <w:tcPr>
            <w:tcW w:w="1418" w:type="dxa"/>
            <w:tcBorders>
              <w:top w:val="single" w:sz="4" w:space="0" w:color="D2232A"/>
              <w:left w:val="single" w:sz="4" w:space="0" w:color="D2232A"/>
              <w:bottom w:val="single" w:sz="4" w:space="0" w:color="D2232A"/>
              <w:right w:val="single" w:sz="4" w:space="0" w:color="D2232A"/>
            </w:tcBorders>
            <w:hideMark/>
          </w:tcPr>
          <w:p w:rsidR="00E41E35" w:rsidRDefault="00E41E35">
            <w:pPr>
              <w:pStyle w:val="TableContents"/>
              <w:snapToGrid w:val="0"/>
              <w:spacing w:line="276" w:lineRule="auto"/>
              <w:jc w:val="center"/>
              <w:rPr>
                <w:rFonts w:ascii="Arial" w:hAnsi="Arial" w:cs="Arial"/>
                <w:sz w:val="22"/>
                <w:lang w:eastAsia="ar-SA" w:bidi="ar-SA"/>
              </w:rPr>
            </w:pPr>
            <w:r>
              <w:rPr>
                <w:rFonts w:ascii="Arial" w:hAnsi="Arial" w:cs="Arial"/>
                <w:sz w:val="26"/>
                <w:szCs w:val="26"/>
                <w:lang w:eastAsia="ar-SA" w:bidi="ar-SA"/>
              </w:rPr>
              <w:t>■</w:t>
            </w:r>
          </w:p>
        </w:tc>
      </w:tr>
    </w:tbl>
    <w:p w:rsidR="00E41E35" w:rsidRDefault="00E41E35" w:rsidP="00E41E35"/>
    <w:p w:rsidR="00E41E35" w:rsidRPr="007E42E6" w:rsidRDefault="00E41E35" w:rsidP="007E42E6">
      <w:pPr>
        <w:pStyle w:val="ECCParagraph"/>
      </w:pPr>
      <w:r>
        <w:t xml:space="preserve">The following sections provide an overview of the LRTCs to be considered in order to cover the applications under consideration in the framework of FM50. </w:t>
      </w:r>
      <w:r w:rsidRPr="007E42E6">
        <w:t xml:space="preserve">The merging of some of these LRTCs should be considered when practicable (for example the LRTC for the forward link of BDA2GC could be similar to the LRTC for one of the terrestrial applications). </w:t>
      </w:r>
    </w:p>
    <w:p w:rsidR="00E41E35" w:rsidRDefault="00E41E35" w:rsidP="000F6780">
      <w:pPr>
        <w:pStyle w:val="Titre4"/>
        <w:rPr>
          <w:color w:val="C00000"/>
        </w:rPr>
      </w:pPr>
      <w:bookmarkStart w:id="69" w:name="_Toc322126831"/>
      <w:r>
        <w:t>Terrestrial Systems</w:t>
      </w:r>
      <w:bookmarkEnd w:id="69"/>
      <w:r>
        <w:t xml:space="preserve"> </w:t>
      </w:r>
    </w:p>
    <w:p w:rsidR="00E41E35" w:rsidRDefault="00E41E35" w:rsidP="00E41E35">
      <w:pPr>
        <w:pStyle w:val="ECCParagraph"/>
        <w:rPr>
          <w:lang w:eastAsia="de-DE"/>
        </w:rPr>
      </w:pPr>
      <w:r>
        <w:t xml:space="preserve">The past CEPT studies on LRTCs have identified a number of cases where the development of BEMs is straightforward, while on the contrary identifying a number of cases that would require specific measures (e.g. restricted blocks, stringent BEMs). Such cases are in particular related to the adjacent frequency operation of FDD and TDD networks within the same geographical area. </w:t>
      </w:r>
    </w:p>
    <w:p w:rsidR="00E41E35" w:rsidRDefault="00E41E35" w:rsidP="00E41E35">
      <w:pPr>
        <w:pStyle w:val="ECCParagraph"/>
      </w:pPr>
      <w:r>
        <w:t>This has led to the following classification of applications</w:t>
      </w:r>
      <w:r>
        <w:rPr>
          <w:rStyle w:val="Appelnotedebasdep"/>
          <w:rFonts w:cs="Arial"/>
          <w:szCs w:val="22"/>
        </w:rPr>
        <w:footnoteReference w:id="20"/>
      </w:r>
      <w:r>
        <w:t>:</w:t>
      </w:r>
    </w:p>
    <w:p w:rsidR="00E41E35" w:rsidRDefault="00E41E35" w:rsidP="000F6780">
      <w:pPr>
        <w:pStyle w:val="ECCParagraph"/>
        <w:numPr>
          <w:ilvl w:val="0"/>
          <w:numId w:val="27"/>
        </w:numPr>
      </w:pPr>
      <w:r>
        <w:lastRenderedPageBreak/>
        <w:t xml:space="preserve">ECN’s Downlink (DL) (including broadcast) to receivers with high directionality and/or high gain (e.g. fixed). For such applications, the corresponding target received field strength is low. None of the applications studied in this report are targeting this kind of deployment scenario. </w:t>
      </w:r>
    </w:p>
    <w:p w:rsidR="00E41E35" w:rsidRDefault="00E41E35" w:rsidP="000F6780">
      <w:pPr>
        <w:pStyle w:val="ECCParagraph"/>
        <w:numPr>
          <w:ilvl w:val="0"/>
          <w:numId w:val="27"/>
        </w:numPr>
      </w:pPr>
      <w:r>
        <w:t>ECN’s DL (including broadcast) to mobile receivers with low directionality and/or low gain (e.g. vehicular or handheld devices for on-the-move, nomadic or stationary use). For such applications, the corresponding target received field strength is high enough to enable reception at ground level to receivers with low gain antennas. This category includes terrestrial broadcasting, downlink of Mobile broadband, Mobile Supplemental Downlink (Mobile SDL) and downlink of Public Protection and Disaster Relief (PPDR).</w:t>
      </w:r>
    </w:p>
    <w:p w:rsidR="00E41E35" w:rsidRDefault="00E41E35" w:rsidP="000F6780">
      <w:pPr>
        <w:pStyle w:val="ECCParagraph"/>
        <w:numPr>
          <w:ilvl w:val="0"/>
          <w:numId w:val="27"/>
        </w:numPr>
      </w:pPr>
      <w:r>
        <w:t>ECN’s Uplink (UL) and low power applications (e.g. handheld devices for on-the-move, nomadic or stationary use). This category includes uplink of mobile broadband (if applicable), Programme Making and Special Events (PMSE) and uplink of Public Protection and Disaster Relief (PPDR).</w:t>
      </w:r>
    </w:p>
    <w:p w:rsidR="00E41E35" w:rsidRDefault="00E41E35" w:rsidP="00E41E35">
      <w:pPr>
        <w:pStyle w:val="ECCParagraph"/>
      </w:pPr>
      <w:r>
        <w:t>At this stage, only the second case and third case described above seem to be relevant for the studies undertaken in the framework of FM50.</w:t>
      </w:r>
    </w:p>
    <w:p w:rsidR="00E41E35" w:rsidRDefault="00E41E35" w:rsidP="00E41E35">
      <w:pPr>
        <w:pStyle w:val="Listenabsatz"/>
        <w:ind w:left="0"/>
        <w:jc w:val="center"/>
        <w:rPr>
          <w:rFonts w:ascii="Arial" w:hAnsi="Arial" w:cs="Arial"/>
        </w:rPr>
      </w:pPr>
      <w:r>
        <w:rPr>
          <w:rFonts w:ascii="Arial" w:hAnsi="Arial" w:cs="Arial"/>
          <w:noProof/>
          <w:lang w:val="fr-FR" w:eastAsia="fr-FR"/>
        </w:rPr>
        <w:drawing>
          <wp:inline distT="0" distB="0" distL="0" distR="0" wp14:anchorId="38F6D4C3" wp14:editId="704D151A">
            <wp:extent cx="2286000" cy="13620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l="57478" t="19762" r="13803" b="54556"/>
                    <a:stretch>
                      <a:fillRect/>
                    </a:stretch>
                  </pic:blipFill>
                  <pic:spPr bwMode="auto">
                    <a:xfrm>
                      <a:off x="0" y="0"/>
                      <a:ext cx="2286000" cy="1362075"/>
                    </a:xfrm>
                    <a:prstGeom prst="rect">
                      <a:avLst/>
                    </a:prstGeom>
                    <a:noFill/>
                    <a:ln>
                      <a:noFill/>
                    </a:ln>
                  </pic:spPr>
                </pic:pic>
              </a:graphicData>
            </a:graphic>
          </wp:inline>
        </w:drawing>
      </w:r>
      <w:r>
        <w:rPr>
          <w:rFonts w:ascii="Arial" w:hAnsi="Arial" w:cs="Arial"/>
          <w:noProof/>
          <w:lang w:val="fr-FR" w:eastAsia="fr-FR"/>
        </w:rPr>
        <w:drawing>
          <wp:inline distT="0" distB="0" distL="0" distR="0" wp14:anchorId="582F8599" wp14:editId="322521DD">
            <wp:extent cx="2695575" cy="12954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l="25258" t="27036" r="30670" b="35393"/>
                    <a:stretch>
                      <a:fillRect/>
                    </a:stretch>
                  </pic:blipFill>
                  <pic:spPr bwMode="auto">
                    <a:xfrm>
                      <a:off x="0" y="0"/>
                      <a:ext cx="2695575" cy="1295400"/>
                    </a:xfrm>
                    <a:prstGeom prst="rect">
                      <a:avLst/>
                    </a:prstGeom>
                    <a:noFill/>
                    <a:ln>
                      <a:noFill/>
                    </a:ln>
                  </pic:spPr>
                </pic:pic>
              </a:graphicData>
            </a:graphic>
          </wp:inline>
        </w:drawing>
      </w:r>
    </w:p>
    <w:p w:rsidR="00E41E35" w:rsidRPr="007E42E6" w:rsidRDefault="00E41E35" w:rsidP="007E42E6">
      <w:pPr>
        <w:pStyle w:val="ECCFiguretitle"/>
      </w:pPr>
      <w:r w:rsidRPr="007E42E6">
        <w:t>ECN’s DL (including broadcast) to mobile receivers</w:t>
      </w:r>
    </w:p>
    <w:p w:rsidR="00E41E35" w:rsidRDefault="00E41E35" w:rsidP="00E41E35">
      <w:pPr>
        <w:jc w:val="center"/>
        <w:rPr>
          <w:rFonts w:cs="Arial"/>
          <w:szCs w:val="22"/>
        </w:rPr>
      </w:pPr>
      <w:r>
        <w:rPr>
          <w:noProof/>
          <w:lang w:val="fr-FR" w:eastAsia="fr-FR"/>
        </w:rPr>
        <w:drawing>
          <wp:inline distT="0" distB="0" distL="0" distR="0" wp14:anchorId="5590E89C" wp14:editId="333893E5">
            <wp:extent cx="5238750" cy="13906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l="26984" t="52066" r="20547" b="25616"/>
                    <a:stretch>
                      <a:fillRect/>
                    </a:stretch>
                  </pic:blipFill>
                  <pic:spPr bwMode="auto">
                    <a:xfrm>
                      <a:off x="0" y="0"/>
                      <a:ext cx="5238750" cy="1390650"/>
                    </a:xfrm>
                    <a:prstGeom prst="rect">
                      <a:avLst/>
                    </a:prstGeom>
                    <a:noFill/>
                    <a:ln>
                      <a:noFill/>
                    </a:ln>
                  </pic:spPr>
                </pic:pic>
              </a:graphicData>
            </a:graphic>
          </wp:inline>
        </w:drawing>
      </w:r>
    </w:p>
    <w:p w:rsidR="007E42E6" w:rsidRDefault="007E42E6" w:rsidP="007E42E6">
      <w:pPr>
        <w:pStyle w:val="ECCFiguretitle"/>
      </w:pPr>
      <w:r w:rsidRPr="007E42E6">
        <w:t>Duplex communications</w:t>
      </w:r>
    </w:p>
    <w:p w:rsidR="00E41E35" w:rsidRDefault="00E41E35" w:rsidP="00E41E35">
      <w:pPr>
        <w:pStyle w:val="ECCParagraph"/>
      </w:pPr>
      <w:r>
        <w:t xml:space="preserve">In case of duplex communications, two sets of LRTCs are required: </w:t>
      </w:r>
    </w:p>
    <w:p w:rsidR="00E41E35" w:rsidRDefault="00E41E35" w:rsidP="000F6780">
      <w:pPr>
        <w:pStyle w:val="ECCParBulleted"/>
        <w:numPr>
          <w:ilvl w:val="0"/>
          <w:numId w:val="18"/>
        </w:numPr>
      </w:pPr>
      <w:r>
        <w:t>one for the DL and</w:t>
      </w:r>
    </w:p>
    <w:p w:rsidR="00E41E35" w:rsidRDefault="00E41E35" w:rsidP="000F6780">
      <w:pPr>
        <w:pStyle w:val="ECCParBulleted"/>
        <w:numPr>
          <w:ilvl w:val="0"/>
          <w:numId w:val="18"/>
        </w:numPr>
      </w:pPr>
      <w:r>
        <w:t>one for the UL</w:t>
      </w:r>
    </w:p>
    <w:p w:rsidR="00E41E35" w:rsidRDefault="00E41E35" w:rsidP="000F6780">
      <w:pPr>
        <w:pStyle w:val="Titre4"/>
      </w:pPr>
      <w:bookmarkStart w:id="70" w:name="_Toc322126832"/>
      <w:r>
        <w:t>Satellite Digital Audio Broadcasting – (including terrestrial component)</w:t>
      </w:r>
      <w:bookmarkEnd w:id="70"/>
    </w:p>
    <w:p w:rsidR="00E41E35" w:rsidRDefault="00E41E35" w:rsidP="00E41E35">
      <w:pPr>
        <w:pStyle w:val="ECCParagraph"/>
      </w:pPr>
      <w:r>
        <w:t xml:space="preserve">Unlike some bands identified for satellite use, which are shared with other services, the band 1452 – 1492 MHz is not subject to any in-band pfd limits. In addition a CEPT Decision exists, at a purely regulatory level, that limits the use of satellite (in the ECC Decision ECC/DEC/(03)02). </w:t>
      </w:r>
    </w:p>
    <w:p w:rsidR="00E41E35" w:rsidRDefault="00E41E35" w:rsidP="00E41E35">
      <w:pPr>
        <w:pStyle w:val="ECCParagraph"/>
      </w:pPr>
      <w:r>
        <w:lastRenderedPageBreak/>
        <w:t>Satellite Digital Audio Broadcasting systems are referred to the band 1467-1492 MHz. If in-band pfd limits were applicable, these would be reflected in ITU-R RR Article 21, which is not the case today. However satellite use in the band 1452 – 1492 MHz is subject to out-of-band pfd limits. Here the limits, for emissions into adjacent bands from in-band emissions in 1452 – 1492 MHz, are detailed in ITU-R Resolution 739.</w:t>
      </w:r>
    </w:p>
    <w:p w:rsidR="00E41E35" w:rsidRDefault="00E41E35" w:rsidP="00E41E35">
      <w:pPr>
        <w:pStyle w:val="ECCParagraph"/>
      </w:pPr>
      <w:r>
        <w:t>Previous study work, in CEPT, had been carried out to address compatibility between S-DAB and T-DAB in adjacent bands</w:t>
      </w:r>
      <w:r>
        <w:rPr>
          <w:rStyle w:val="Appelnotedebasdep"/>
          <w:sz w:val="22"/>
          <w:szCs w:val="22"/>
        </w:rPr>
        <w:footnoteReference w:id="21"/>
      </w:r>
      <w:r>
        <w:t xml:space="preserve"> and between S-DAB and PMSE</w:t>
      </w:r>
      <w:r>
        <w:rPr>
          <w:rStyle w:val="Appelnotedebasdep"/>
        </w:rPr>
        <w:footnoteReference w:id="22"/>
      </w:r>
      <w:r>
        <w:t xml:space="preserve">. New compatibility studies may have to be carried out depending on the outcome of FM50 work and considering the information given in section 3. </w:t>
      </w:r>
    </w:p>
    <w:p w:rsidR="00E41E35" w:rsidRDefault="00E41E35" w:rsidP="00E41E35">
      <w:pPr>
        <w:pStyle w:val="ECCParagraph"/>
      </w:pPr>
      <w:r>
        <w:t>In the development of the LRTC for the terrestrial component, similar approach as for the Terrestrial Systems should be considered, as appropriate.</w:t>
      </w:r>
    </w:p>
    <w:p w:rsidR="00E41E35" w:rsidRDefault="00E41E35" w:rsidP="00E41E35">
      <w:pPr>
        <w:pStyle w:val="ECCParagraph"/>
      </w:pPr>
      <w:r>
        <w:t>One option would be to adopt the same channel raster as in the existing regulations (1.7 MHz).</w:t>
      </w:r>
    </w:p>
    <w:p w:rsidR="007E42E6" w:rsidRDefault="007E42E6" w:rsidP="000F6780">
      <w:pPr>
        <w:pStyle w:val="Titre4"/>
        <w:rPr>
          <w:color w:val="C00000"/>
        </w:rPr>
      </w:pPr>
      <w:bookmarkStart w:id="71" w:name="_Toc322126833"/>
      <w:r>
        <w:t>BDA2GC</w:t>
      </w:r>
      <w:bookmarkEnd w:id="71"/>
    </w:p>
    <w:p w:rsidR="00E41E35" w:rsidRDefault="00E41E35" w:rsidP="00E41E35">
      <w:pPr>
        <w:pStyle w:val="ECCParagraph"/>
      </w:pPr>
      <w:r>
        <w:t xml:space="preserve">Compatibility studies between a BDA2GC system and a terrestrial cellular mobile system, both based on LTE technology, were performed for the band 3400-3600 MHz. The evaluations results state that in principle a LTE-based BDA2GC system can co-exist with a terrestrial mobile radio system with similar characteristics in the adjacent channel, in particular if FDD mode operations are considered for both systems. No additional guard band between the channel block edges is required in that case. </w:t>
      </w:r>
    </w:p>
    <w:p w:rsidR="00E41E35" w:rsidRDefault="00E41E35" w:rsidP="00E41E35">
      <w:pPr>
        <w:pStyle w:val="ECCParagraph"/>
      </w:pPr>
      <w:r>
        <w:t>For TDD or mixed FDD/TDD mode operations the main problem to be solved is the decoupling of the antennas of the BDA2GC GS and the terrestrial cellular mobile BS (eNodeB) which requires sufficient isolation in space and/or frequency or alternatively the usage of different sites for the systems. Therefore, it was concluded that frequency guard bands of about 5 MHz would be required when operating in different transmit directions in adjacent channels, as it applies also for the operation of different terrestrial cellular mobile networks within the same geographical area.</w:t>
      </w:r>
    </w:p>
    <w:p w:rsidR="00E41E35" w:rsidRDefault="00E41E35" w:rsidP="00E41E35">
      <w:pPr>
        <w:pStyle w:val="ECCParagraph"/>
        <w:rPr>
          <w:rFonts w:cs="Arial"/>
        </w:rPr>
      </w:pPr>
      <w:r>
        <w:rPr>
          <w:rFonts w:cs="Arial"/>
        </w:rPr>
        <w:t xml:space="preserve">The conclusions drawn for the band 3400-3600 MHz would similarly apply also for the operation of BDA2GC adjacent to terrestrial cellular mobile networks the band 1452-1492 MHz. </w:t>
      </w:r>
    </w:p>
    <w:p w:rsidR="00E41E35" w:rsidRDefault="00E41E35" w:rsidP="00E41E35">
      <w:pPr>
        <w:pStyle w:val="ECCParagraph"/>
        <w:rPr>
          <w:rFonts w:cs="Arial"/>
        </w:rPr>
      </w:pPr>
      <w:r>
        <w:rPr>
          <w:rFonts w:cs="Arial"/>
        </w:rPr>
        <w:t>Further compatibility studies may have to be carried out depending on the outcome of FM50 work with a view to developing LRTCs for BDA2GC if relevant, while noting the following:</w:t>
      </w:r>
    </w:p>
    <w:p w:rsidR="00E41E35" w:rsidRDefault="00E41E35" w:rsidP="000F6780">
      <w:pPr>
        <w:pStyle w:val="ECCParBulleted"/>
        <w:numPr>
          <w:ilvl w:val="0"/>
          <w:numId w:val="18"/>
        </w:numPr>
      </w:pPr>
      <w:r>
        <w:t xml:space="preserve">The BDA2GC reverse link (transmission from airplane, reception at ground station) requires higher transmission power than the uplink in terrestrial mobile systems, which indicates that BDA2GC LRTC would be different than for terrestrial systems LRTC which are typically based on an in-band power limitation (e.g. 23 dBm TRP). </w:t>
      </w:r>
    </w:p>
    <w:p w:rsidR="00E41E35" w:rsidRDefault="00E41E35" w:rsidP="000F6780">
      <w:pPr>
        <w:pStyle w:val="ECCParBulleted"/>
        <w:numPr>
          <w:ilvl w:val="0"/>
          <w:numId w:val="18"/>
        </w:numPr>
      </w:pPr>
      <w:r>
        <w:t xml:space="preserve">The LRTC for the BDA2GC forward link have to be studied, taking into account that LRTC previously derived for the downlink of terrestrial systems all assume antenna downtilt, whereas the BDA2GC forward link </w:t>
      </w:r>
      <w:r>
        <w:rPr>
          <w:rStyle w:val="Marquedecommentaire"/>
          <w:lang w:val="en-US"/>
        </w:rPr>
        <w:t>r</w:t>
      </w:r>
      <w:r>
        <w:t xml:space="preserve">elies on the ground station antenna characteristic with special emphasis on the antenna uptilt </w:t>
      </w:r>
      <w:r>
        <w:rPr>
          <w:rFonts w:eastAsia="MS Mincho" w:cs="Arial"/>
          <w:szCs w:val="20"/>
          <w:lang w:eastAsia="ja-JP"/>
        </w:rPr>
        <w:t>to achieve sky coverage.</w:t>
      </w:r>
      <w:r>
        <w:rPr>
          <w:i/>
          <w:color w:val="FF0000"/>
        </w:rPr>
        <w:t xml:space="preserve"> </w:t>
      </w:r>
    </w:p>
    <w:p w:rsidR="00E41E35" w:rsidRDefault="00E41E35" w:rsidP="00E41E35">
      <w:pPr>
        <w:pStyle w:val="ECCParagraph"/>
        <w:rPr>
          <w:rFonts w:cs="Arial"/>
        </w:rPr>
      </w:pPr>
    </w:p>
    <w:p w:rsidR="00E41E35" w:rsidRDefault="00E41E35" w:rsidP="00E41E35">
      <w:pPr>
        <w:pStyle w:val="ECCParagraph"/>
        <w:jc w:val="center"/>
        <w:rPr>
          <w:rFonts w:cs="Arial"/>
        </w:rPr>
      </w:pPr>
      <w:r>
        <w:rPr>
          <w:noProof/>
          <w:lang w:val="fr-FR" w:eastAsia="fr-FR"/>
        </w:rPr>
        <w:lastRenderedPageBreak/>
        <w:drawing>
          <wp:inline distT="0" distB="0" distL="0" distR="0" wp14:anchorId="1C8E8F43" wp14:editId="241AB35D">
            <wp:extent cx="2819400" cy="23050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l="44896" t="20667" r="6026" b="15375"/>
                    <a:stretch>
                      <a:fillRect/>
                    </a:stretch>
                  </pic:blipFill>
                  <pic:spPr bwMode="auto">
                    <a:xfrm>
                      <a:off x="0" y="0"/>
                      <a:ext cx="2819400" cy="2305050"/>
                    </a:xfrm>
                    <a:prstGeom prst="rect">
                      <a:avLst/>
                    </a:prstGeom>
                    <a:noFill/>
                    <a:ln>
                      <a:noFill/>
                    </a:ln>
                  </pic:spPr>
                </pic:pic>
              </a:graphicData>
            </a:graphic>
          </wp:inline>
        </w:drawing>
      </w:r>
    </w:p>
    <w:p w:rsidR="00E41E35" w:rsidRDefault="00E41E35" w:rsidP="007E42E6">
      <w:pPr>
        <w:pStyle w:val="ECCFiguretitle"/>
      </w:pPr>
      <w:r>
        <w:t xml:space="preserve">DA2GC </w:t>
      </w:r>
    </w:p>
    <w:p w:rsidR="00E41E35" w:rsidRDefault="00E41E35" w:rsidP="00E41E35">
      <w:pPr>
        <w:pStyle w:val="ECCParagraph"/>
      </w:pPr>
      <w:r>
        <w:t>BDA2GC would require two sets of LRTCs, one for forward link (Ground-to-Air) and one for the reverse link (Air-to-Ground)</w:t>
      </w:r>
    </w:p>
    <w:p w:rsidR="00E41E35" w:rsidRDefault="00E41E35" w:rsidP="007E42E6">
      <w:pPr>
        <w:pStyle w:val="Titre3"/>
      </w:pPr>
      <w:bookmarkStart w:id="72" w:name="_Toc322126834"/>
      <w:r>
        <w:t>Reference systems</w:t>
      </w:r>
      <w:bookmarkEnd w:id="72"/>
    </w:p>
    <w:p w:rsidR="00E41E35" w:rsidRDefault="00E41E35" w:rsidP="00E41E35">
      <w:pPr>
        <w:pStyle w:val="ECCParagraph"/>
      </w:pPr>
      <w:r>
        <w:t>In order to establish compatibility criteria for systems operating in the band, it may be necessary to make some assumptions about likely systems in the band. The expression of minimum technical restrictions will be linked to a given set of assumptions generally identified through a market analysis.</w:t>
      </w:r>
    </w:p>
    <w:p w:rsidR="00E41E35" w:rsidRDefault="00E41E35" w:rsidP="00E41E35">
      <w:pPr>
        <w:pStyle w:val="ECCParagraph"/>
      </w:pPr>
      <w:r>
        <w:t xml:space="preserve">For each band (or sub-band) one or more reference systems can be identified, based on the market analysis of most likely systems for that band (typically through research and consultation with interested parties). </w:t>
      </w:r>
    </w:p>
    <w:p w:rsidR="00E41E35" w:rsidRDefault="00E41E35" w:rsidP="00E41E35">
      <w:pPr>
        <w:pStyle w:val="ECCParagraph"/>
      </w:pPr>
      <w:r>
        <w:t>LRTCs to date have consisted of the combination of:</w:t>
      </w:r>
    </w:p>
    <w:p w:rsidR="00E41E35" w:rsidRDefault="00E41E35" w:rsidP="000F6780">
      <w:pPr>
        <w:numPr>
          <w:ilvl w:val="0"/>
          <w:numId w:val="28"/>
        </w:numPr>
        <w:jc w:val="both"/>
        <w:rPr>
          <w:rFonts w:cs="Arial"/>
          <w:szCs w:val="22"/>
        </w:rPr>
      </w:pPr>
      <w:r>
        <w:rPr>
          <w:rFonts w:cs="Arial"/>
          <w:szCs w:val="22"/>
        </w:rPr>
        <w:t>A harmonised band plan,</w:t>
      </w:r>
    </w:p>
    <w:p w:rsidR="00E41E35" w:rsidRDefault="00E41E35" w:rsidP="000F6780">
      <w:pPr>
        <w:numPr>
          <w:ilvl w:val="0"/>
          <w:numId w:val="28"/>
        </w:numPr>
        <w:jc w:val="both"/>
        <w:rPr>
          <w:rFonts w:cs="Arial"/>
          <w:szCs w:val="22"/>
        </w:rPr>
      </w:pPr>
      <w:r>
        <w:rPr>
          <w:rFonts w:cs="Arial"/>
          <w:szCs w:val="22"/>
        </w:rPr>
        <w:t xml:space="preserve">Generic Block Edge Masks for adjacent frequency use (both within the band and at the band edges), enabling co-existence within a group of applications deployed in the same service area. </w:t>
      </w:r>
    </w:p>
    <w:p w:rsidR="00E41E35" w:rsidRDefault="00E41E35" w:rsidP="000F6780">
      <w:pPr>
        <w:numPr>
          <w:ilvl w:val="0"/>
          <w:numId w:val="28"/>
        </w:numPr>
        <w:jc w:val="both"/>
        <w:rPr>
          <w:rFonts w:cs="Arial"/>
          <w:szCs w:val="22"/>
        </w:rPr>
      </w:pPr>
      <w:r>
        <w:rPr>
          <w:rFonts w:cs="Arial"/>
          <w:szCs w:val="22"/>
        </w:rPr>
        <w:t>Restricted Block Edge Masks for co-existence between groups of applications.</w:t>
      </w:r>
    </w:p>
    <w:p w:rsidR="00E41E35" w:rsidRDefault="00E41E35" w:rsidP="007E42E6">
      <w:pPr>
        <w:pStyle w:val="Titre3"/>
      </w:pPr>
      <w:bookmarkStart w:id="73" w:name="_Toc322126835"/>
      <w:r>
        <w:t>Initial Considerations on LRTC for Terrestrial system</w:t>
      </w:r>
      <w:bookmarkEnd w:id="73"/>
    </w:p>
    <w:p w:rsidR="00E41E35" w:rsidRPr="007E42E6" w:rsidRDefault="00E41E35" w:rsidP="000F6780">
      <w:pPr>
        <w:pStyle w:val="Titre4"/>
      </w:pPr>
      <w:bookmarkStart w:id="74" w:name="_Toc322126836"/>
      <w:r w:rsidRPr="007E42E6">
        <w:t>Possible Band plan(s)</w:t>
      </w:r>
      <w:bookmarkEnd w:id="74"/>
    </w:p>
    <w:p w:rsidR="00E41E35" w:rsidRDefault="00E41E35" w:rsidP="00E41E35">
      <w:pPr>
        <w:pStyle w:val="ECCParagraph"/>
      </w:pPr>
      <w:r>
        <w:t xml:space="preserve">It will be up to ECC to decide to retain parallel band plans or to select a preferred band plan and abrogate the MA02revCO07 band plan. In the previous studies on the 800 MHz band, the preferred band plan was adopted </w:t>
      </w:r>
      <w:r>
        <w:rPr>
          <w:rFonts w:cs="Arial"/>
          <w:szCs w:val="20"/>
        </w:rPr>
        <w:t xml:space="preserve">in </w:t>
      </w:r>
      <w:r>
        <w:rPr>
          <w:rFonts w:cs="Arial"/>
          <w:bCs/>
          <w:szCs w:val="20"/>
        </w:rPr>
        <w:t>ECC/DEC/(09)03 [</w:t>
      </w:r>
      <w:r>
        <w:rPr>
          <w:rFonts w:cs="Arial"/>
          <w:bCs/>
          <w:szCs w:val="20"/>
          <w:highlight w:val="yellow"/>
        </w:rPr>
        <w:t>ref</w:t>
      </w:r>
      <w:r>
        <w:rPr>
          <w:rFonts w:cs="Arial"/>
          <w:bCs/>
          <w:szCs w:val="20"/>
        </w:rPr>
        <w:t xml:space="preserve">] </w:t>
      </w:r>
      <w:r>
        <w:rPr>
          <w:rFonts w:cs="Arial"/>
          <w:szCs w:val="20"/>
        </w:rPr>
        <w:t>while the channelling</w:t>
      </w:r>
      <w:r>
        <w:t xml:space="preserve"> arrangement from GE06 was maintained.</w:t>
      </w:r>
    </w:p>
    <w:p w:rsidR="00E41E35" w:rsidRDefault="00E41E35" w:rsidP="00E41E35">
      <w:pPr>
        <w:pStyle w:val="ECCParagraph"/>
        <w:rPr>
          <w:b/>
          <w:bCs/>
        </w:rPr>
      </w:pPr>
      <w:r>
        <w:t xml:space="preserve">The adoption of 5 MHz block size has been used for the development of LRTCs in other bands. The 5 MHz band plan option is optimal for most terrestrial applications under consideration in 1452-1492 MHz.  A 5 MHz plan uses efficiently the entire 40 MHz bandwidth and thus maximizes spectrum availability. </w:t>
      </w:r>
    </w:p>
    <w:p w:rsidR="00E41E35" w:rsidRDefault="00E41E35" w:rsidP="00E41E35">
      <w:pPr>
        <w:pStyle w:val="ECCParagraph"/>
      </w:pPr>
      <w:r>
        <w:t>A 1.7 MHz band plan based on MA02revCO07 is optimal for T-DAB technologies. A 1.7 MHz plan uses a total bandwidth of 39.1 MHz. There is 0.9MHz unused and cannot accommodate most of applications based on broadband technologies.</w:t>
      </w:r>
    </w:p>
    <w:p w:rsidR="00E41E35" w:rsidRDefault="00E41E35" w:rsidP="00E41E35">
      <w:pPr>
        <w:pStyle w:val="ECCParagraph"/>
        <w:rPr>
          <w:b/>
          <w:bCs/>
        </w:rPr>
      </w:pPr>
      <w:r>
        <w:rPr>
          <w:lang w:val="en-US"/>
        </w:rPr>
        <w:lastRenderedPageBreak/>
        <w:t>A channel raster of 5.1 MHz (3x1.7 MHz) is considered in CEPT Report 18. However, it does not seem to be optimal for most of the applications under consideration.</w:t>
      </w:r>
      <w:r>
        <w:t xml:space="preserve">In addition, a band plan based on 5.1 MHz blocks will use a total of 35.7 MHz resulting in 4.3 MHz unused in the band 1452-1492 MHz. </w:t>
      </w:r>
    </w:p>
    <w:p w:rsidR="00E41E35" w:rsidRDefault="00E41E35" w:rsidP="00E41E35">
      <w:pPr>
        <w:pStyle w:val="ECCParagraph"/>
        <w:rPr>
          <w:lang w:val="en-US"/>
        </w:rPr>
      </w:pPr>
      <w:r>
        <w:t>Although, two candidate band plans are still under consideration, the final aim is to identify a single band plan in order to achieve harmonisation in CEPT to the maximum extent possible.</w:t>
      </w:r>
    </w:p>
    <w:p w:rsidR="00E41E35" w:rsidRDefault="00E41E35" w:rsidP="00E41E35">
      <w:pPr>
        <w:pStyle w:val="ECCParagraph"/>
        <w:rPr>
          <w:lang w:val="en-US"/>
        </w:rPr>
      </w:pPr>
      <w:r>
        <w:rPr>
          <w:lang w:val="en-US"/>
        </w:rPr>
        <w:t xml:space="preserve">The band plan options for </w:t>
      </w:r>
      <w:r>
        <w:t xml:space="preserve">1452-1492 MHz </w:t>
      </w:r>
      <w:r>
        <w:rPr>
          <w:lang w:val="en-US"/>
        </w:rPr>
        <w:t xml:space="preserve">are illustrated in the figures below: </w:t>
      </w:r>
    </w:p>
    <w:p w:rsidR="00E41E35" w:rsidRDefault="00E41E35" w:rsidP="00E41E35">
      <w:pPr>
        <w:pStyle w:val="ECCParagraph"/>
        <w:spacing w:after="0"/>
        <w:jc w:val="center"/>
        <w:rPr>
          <w:lang w:val="en-US"/>
        </w:rPr>
      </w:pPr>
      <w:r>
        <w:rPr>
          <w:noProof/>
          <w:lang w:val="fr-FR" w:eastAsia="fr-FR"/>
        </w:rPr>
        <w:drawing>
          <wp:inline distT="0" distB="0" distL="0" distR="0" wp14:anchorId="2F5FCF34" wp14:editId="099CBE42">
            <wp:extent cx="5543550" cy="8667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b="45087"/>
                    <a:stretch>
                      <a:fillRect/>
                    </a:stretch>
                  </pic:blipFill>
                  <pic:spPr bwMode="auto">
                    <a:xfrm>
                      <a:off x="0" y="0"/>
                      <a:ext cx="5543550" cy="866775"/>
                    </a:xfrm>
                    <a:prstGeom prst="rect">
                      <a:avLst/>
                    </a:prstGeom>
                    <a:noFill/>
                    <a:ln>
                      <a:noFill/>
                    </a:ln>
                  </pic:spPr>
                </pic:pic>
              </a:graphicData>
            </a:graphic>
          </wp:inline>
        </w:drawing>
      </w:r>
    </w:p>
    <w:p w:rsidR="00E41E35" w:rsidRDefault="00E41E35" w:rsidP="007E42E6">
      <w:pPr>
        <w:pStyle w:val="ECCFiguretitle"/>
      </w:pPr>
      <w:r>
        <w:rPr>
          <w:lang w:val="en-US"/>
        </w:rPr>
        <w:t>B</w:t>
      </w:r>
      <w:r>
        <w:t>and plan option A for 1452-1492 MHz band based on 1.7 MHz block size</w:t>
      </w:r>
    </w:p>
    <w:p w:rsidR="00E41E35" w:rsidRDefault="00E41E35" w:rsidP="00E41E35">
      <w:pPr>
        <w:pStyle w:val="ECCParagraph"/>
        <w:jc w:val="center"/>
        <w:rPr>
          <w:lang w:val="en-US"/>
        </w:rPr>
      </w:pPr>
      <w:r>
        <w:rPr>
          <w:noProof/>
          <w:lang w:val="fr-FR" w:eastAsia="fr-FR"/>
        </w:rPr>
        <w:drawing>
          <wp:inline distT="0" distB="0" distL="0" distR="0" wp14:anchorId="5D3B9E93" wp14:editId="533F5ADF">
            <wp:extent cx="5124450" cy="666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24450" cy="666750"/>
                    </a:xfrm>
                    <a:prstGeom prst="rect">
                      <a:avLst/>
                    </a:prstGeom>
                    <a:noFill/>
                    <a:ln>
                      <a:noFill/>
                    </a:ln>
                  </pic:spPr>
                </pic:pic>
              </a:graphicData>
            </a:graphic>
          </wp:inline>
        </w:drawing>
      </w:r>
    </w:p>
    <w:p w:rsidR="00E41E35" w:rsidRDefault="00E41E35" w:rsidP="007E42E6">
      <w:pPr>
        <w:pStyle w:val="ECCFiguretitle"/>
      </w:pPr>
      <w:r>
        <w:t>Band plan option B for 1452-1492 MHz band based on 5 MHz block size</w:t>
      </w:r>
    </w:p>
    <w:p w:rsidR="00E41E35" w:rsidRDefault="00E41E35" w:rsidP="000F6780">
      <w:pPr>
        <w:pStyle w:val="Titre4"/>
      </w:pPr>
      <w:bookmarkStart w:id="75" w:name="_Toc322126837"/>
      <w:r>
        <w:t>Generic BEM</w:t>
      </w:r>
      <w:bookmarkEnd w:id="75"/>
      <w:r>
        <w:t xml:space="preserve"> </w:t>
      </w:r>
    </w:p>
    <w:p w:rsidR="00E41E35" w:rsidRDefault="00E41E35" w:rsidP="00E41E35">
      <w:pPr>
        <w:pStyle w:val="ECCParagraph"/>
      </w:pPr>
      <w:r>
        <w:t xml:space="preserve">A generic BEM ensures coexistence between applications belonging to the same group of applications, i.e. ECNs DL vs ECNs DL and ECNs UL vs ECNs UL. In previous CEPT studies, such a generic BEM was typically derived from considerations of the Spectrum Emission Masks of the reference system for the group of applications. </w:t>
      </w:r>
    </w:p>
    <w:p w:rsidR="00E41E35" w:rsidRDefault="00E41E35" w:rsidP="007E42E6">
      <w:pPr>
        <w:pStyle w:val="ECCFiguretitle"/>
        <w:numPr>
          <w:ilvl w:val="0"/>
          <w:numId w:val="0"/>
        </w:numPr>
      </w:pPr>
    </w:p>
    <w:p w:rsidR="00E41E35" w:rsidRDefault="00E41E35" w:rsidP="00E41E35">
      <w:pPr>
        <w:pStyle w:val="ECCParagraph"/>
        <w:jc w:val="center"/>
      </w:pPr>
      <w:r>
        <w:rPr>
          <w:noProof/>
          <w:lang w:val="fr-FR" w:eastAsia="fr-FR"/>
        </w:rPr>
        <w:drawing>
          <wp:inline distT="0" distB="0" distL="0" distR="0" wp14:anchorId="408E0550" wp14:editId="236EA1E9">
            <wp:extent cx="5210175" cy="6762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0175" cy="676275"/>
                    </a:xfrm>
                    <a:prstGeom prst="rect">
                      <a:avLst/>
                    </a:prstGeom>
                    <a:noFill/>
                    <a:ln>
                      <a:noFill/>
                    </a:ln>
                  </pic:spPr>
                </pic:pic>
              </a:graphicData>
            </a:graphic>
          </wp:inline>
        </w:drawing>
      </w:r>
    </w:p>
    <w:p w:rsidR="00E41E35" w:rsidRDefault="00E41E35" w:rsidP="007E42E6">
      <w:pPr>
        <w:pStyle w:val="ECCFiguretitle"/>
      </w:pPr>
      <w:r>
        <w:t>Example of mixed allocations between Mobile SDL  and Broadcast (BC) at national level</w:t>
      </w:r>
    </w:p>
    <w:p w:rsidR="00E41E35" w:rsidRDefault="00E41E35" w:rsidP="00E41E35">
      <w:pPr>
        <w:pStyle w:val="ECCParagraph"/>
      </w:pPr>
      <w:r>
        <w:t xml:space="preserve">In previous CEPT studies on the generic BEM for ECNs UL and low power applications, were implying a maximum in-band power, with no further constraints applied. </w:t>
      </w:r>
    </w:p>
    <w:p w:rsidR="00E41E35" w:rsidRDefault="00E41E35" w:rsidP="00E41E35">
      <w:pPr>
        <w:pStyle w:val="ECCParagraph"/>
      </w:pPr>
      <w:r>
        <w:t>Appropriate CEPT reviews may be needed to verify these initial (as well as additional) considerations about the suitability of these candidate Generic BEMs.</w:t>
      </w:r>
    </w:p>
    <w:p w:rsidR="00E41E35" w:rsidRDefault="00E41E35" w:rsidP="000F6780">
      <w:pPr>
        <w:pStyle w:val="Titre4"/>
      </w:pPr>
      <w:bookmarkStart w:id="76" w:name="_Toc322126838"/>
      <w:r>
        <w:t>Restricted BEM</w:t>
      </w:r>
      <w:bookmarkEnd w:id="76"/>
    </w:p>
    <w:p w:rsidR="00E41E35" w:rsidRDefault="00E41E35" w:rsidP="00E41E35">
      <w:pPr>
        <w:pStyle w:val="ECCParagraph"/>
      </w:pPr>
      <w:r>
        <w:rPr>
          <w:lang w:val="en-US"/>
        </w:rPr>
        <w:t xml:space="preserve">The coexistence of </w:t>
      </w:r>
      <w:r>
        <w:t>ECNs DL and ECNs UL usually require the adoption of restricted blocks, on which restricted BEMs apply, as illustrated in the Figure below.</w:t>
      </w:r>
    </w:p>
    <w:p w:rsidR="00E41E35" w:rsidRDefault="00E41E35" w:rsidP="007E42E6">
      <w:pPr>
        <w:pStyle w:val="ECCFiguretitle"/>
        <w:numPr>
          <w:ilvl w:val="0"/>
          <w:numId w:val="0"/>
        </w:numPr>
        <w:ind w:left="357"/>
        <w:rPr>
          <w:highlight w:val="yellow"/>
        </w:rPr>
      </w:pPr>
      <w:r>
        <w:rPr>
          <w:noProof/>
          <w:lang w:val="fr-FR" w:eastAsia="fr-FR"/>
        </w:rPr>
        <w:lastRenderedPageBreak/>
        <w:drawing>
          <wp:inline distT="0" distB="0" distL="0" distR="0" wp14:anchorId="664624EF" wp14:editId="2C03D4FE">
            <wp:extent cx="4210050" cy="20859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l="15639" t="36719" r="20189" b="20322"/>
                    <a:stretch>
                      <a:fillRect/>
                    </a:stretch>
                  </pic:blipFill>
                  <pic:spPr bwMode="auto">
                    <a:xfrm>
                      <a:off x="0" y="0"/>
                      <a:ext cx="4210050" cy="2085975"/>
                    </a:xfrm>
                    <a:prstGeom prst="rect">
                      <a:avLst/>
                    </a:prstGeom>
                    <a:noFill/>
                    <a:ln>
                      <a:noFill/>
                    </a:ln>
                  </pic:spPr>
                </pic:pic>
              </a:graphicData>
            </a:graphic>
          </wp:inline>
        </w:drawing>
      </w:r>
    </w:p>
    <w:p w:rsidR="00E41E35" w:rsidRDefault="00E41E35" w:rsidP="007E42E6">
      <w:pPr>
        <w:pStyle w:val="ECCFiguretitle"/>
      </w:pPr>
      <w:r>
        <w:t>Example of mixed allocations between DL and DL/UL blocks, including resulting restricted blocks</w:t>
      </w:r>
    </w:p>
    <w:p w:rsidR="00E41E35" w:rsidRDefault="00E41E35" w:rsidP="00E41E35">
      <w:pPr>
        <w:pStyle w:val="ECCParagraph"/>
      </w:pPr>
      <w:r>
        <w:t>These two Figures are illustrative examples.</w:t>
      </w:r>
      <w:r>
        <w:rPr>
          <w:rStyle w:val="apple-converted-space"/>
          <w:rFonts w:ascii="Arial" w:hAnsi="Arial"/>
        </w:rPr>
        <w:t> </w:t>
      </w:r>
      <w:r>
        <w:t>Requirements for restricted blocks have to be assessed on a case by case basis.</w:t>
      </w:r>
    </w:p>
    <w:p w:rsidR="00E41E35" w:rsidRDefault="00E41E35" w:rsidP="00E41E35">
      <w:pPr>
        <w:pStyle w:val="ECCParagraph"/>
        <w:rPr>
          <w:lang w:val="en-US"/>
        </w:rPr>
      </w:pPr>
      <w:r>
        <w:t xml:space="preserve">In such restricted blocks, the maximum in-band power is limited and the reception sensitivity may be degraded due to interference from adjacent DL blocks. The CEPT Report 19, 39 and ECC Report 131 </w:t>
      </w:r>
      <w:r>
        <w:rPr>
          <w:lang w:val="en-US"/>
        </w:rPr>
        <w:t>[</w:t>
      </w:r>
      <w:r>
        <w:rPr>
          <w:highlight w:val="yellow"/>
          <w:lang w:val="en-US"/>
        </w:rPr>
        <w:t>Ref</w:t>
      </w:r>
      <w:r>
        <w:rPr>
          <w:lang w:val="en-US"/>
        </w:rPr>
        <w:t xml:space="preserve">] have studied extensively these restricted blocks and provide an adequate corresponding regulatory framework.  </w:t>
      </w:r>
    </w:p>
    <w:p w:rsidR="00E41E35" w:rsidRPr="000F6780" w:rsidRDefault="00E41E35" w:rsidP="000F6780">
      <w:pPr>
        <w:pStyle w:val="Titre2"/>
      </w:pPr>
      <w:bookmarkStart w:id="77" w:name="_Toc322126839"/>
      <w:r w:rsidRPr="000F6780">
        <w:t>Pan-european vs National coverage</w:t>
      </w:r>
      <w:bookmarkEnd w:id="77"/>
    </w:p>
    <w:p w:rsidR="00E41E35" w:rsidRDefault="00E41E35" w:rsidP="00E41E35">
      <w:pPr>
        <w:pStyle w:val="ECCParagraph"/>
      </w:pPr>
      <w:r>
        <w:t>The candidate applications can be classified based on their technical and regulatory requirement in two groups:</w:t>
      </w:r>
    </w:p>
    <w:p w:rsidR="00E41E35" w:rsidRDefault="00E41E35" w:rsidP="000F6780">
      <w:pPr>
        <w:pStyle w:val="ECCParagraph"/>
        <w:numPr>
          <w:ilvl w:val="0"/>
          <w:numId w:val="29"/>
        </w:numPr>
      </w:pPr>
      <w:r>
        <w:t>Applications requiring the harmonisation and identification of spectrum for CEPT-wide use/coverage</w:t>
      </w:r>
    </w:p>
    <w:p w:rsidR="00E41E35" w:rsidRDefault="00E41E35" w:rsidP="000F6780">
      <w:pPr>
        <w:pStyle w:val="ECCParagraph"/>
        <w:numPr>
          <w:ilvl w:val="0"/>
          <w:numId w:val="29"/>
        </w:numPr>
      </w:pPr>
      <w:r>
        <w:t>Applications requiring the harmonisation and identification of spectrum for deployment at national level</w:t>
      </w:r>
    </w:p>
    <w:p w:rsidR="00E41E35" w:rsidRDefault="00E41E35" w:rsidP="000F6780">
      <w:pPr>
        <w:pStyle w:val="Titre3"/>
      </w:pPr>
      <w:bookmarkStart w:id="78" w:name="_Toc322126840"/>
      <w:r>
        <w:t>Applications requiring the harmonisation and identification of spectrum for CEPT-wide use/coverage</w:t>
      </w:r>
      <w:bookmarkEnd w:id="78"/>
    </w:p>
    <w:p w:rsidR="00E41E35" w:rsidRDefault="00E41E35" w:rsidP="00E41E35">
      <w:pPr>
        <w:pStyle w:val="ECCParagraph"/>
      </w:pPr>
      <w:r>
        <w:t>In general, the applications in this section either require the allocation of the band (or a sub-band) due to the service requirement, or will impact use of the band (or a sub-band) due to the inherent nature of their deployment which cannot be restricted to a single country.</w:t>
      </w:r>
    </w:p>
    <w:p w:rsidR="00E41E35" w:rsidRDefault="00E41E35" w:rsidP="000F6780">
      <w:pPr>
        <w:pStyle w:val="Titre4"/>
      </w:pPr>
      <w:bookmarkStart w:id="79" w:name="_Toc319487810"/>
      <w:bookmarkStart w:id="80" w:name="_Toc319487809"/>
      <w:bookmarkStart w:id="81" w:name="_Toc322126841"/>
      <w:r>
        <w:t>Satellite Digital Audio Broadcasting– (including terrestrial component)</w:t>
      </w:r>
      <w:bookmarkEnd w:id="81"/>
    </w:p>
    <w:bookmarkEnd w:id="79"/>
    <w:p w:rsidR="00E41E35" w:rsidRDefault="00E41E35" w:rsidP="00E41E35">
      <w:pPr>
        <w:pStyle w:val="ECCParagraph"/>
        <w:rPr>
          <w:lang w:val="en-US"/>
        </w:rPr>
      </w:pPr>
      <w:r>
        <w:t xml:space="preserve">Satellite Digital Audio Broadcasting– (including terrestrial component) </w:t>
      </w:r>
      <w:r>
        <w:rPr>
          <w:lang w:val="en-US"/>
        </w:rPr>
        <w:t xml:space="preserve">rely on a satellite component. Such satellite service provides naturally a Europe wide coverage in 1467-1492 MHz, i.e. the satellite beam cannot be shaped to cover a single country but covers multiple CEPT countries. </w:t>
      </w:r>
    </w:p>
    <w:p w:rsidR="00E41E35" w:rsidRDefault="00E41E35" w:rsidP="00E41E35">
      <w:pPr>
        <w:pStyle w:val="ECCParagraph"/>
        <w:rPr>
          <w:lang w:val="en-US"/>
        </w:rPr>
      </w:pPr>
      <w:r>
        <w:rPr>
          <w:lang w:val="en-US"/>
        </w:rPr>
        <w:t xml:space="preserve">As a result, the decision from a CEPT country to allow satellite digital </w:t>
      </w:r>
      <w:r>
        <w:t>audio broadcasting– (including terrestrial component) with</w:t>
      </w:r>
      <w:r>
        <w:rPr>
          <w:lang w:val="en-US"/>
        </w:rPr>
        <w:t xml:space="preserve">in its border will directly result in signal covering also its neighboring countries. In countries which decide not to protect on their territory the satellite broadcasting reception this signal is to be considered as interference. </w:t>
      </w:r>
    </w:p>
    <w:p w:rsidR="00E41E35" w:rsidRDefault="00E41E35" w:rsidP="000F6780">
      <w:pPr>
        <w:pStyle w:val="Titre4"/>
      </w:pPr>
      <w:bookmarkStart w:id="82" w:name="_Toc322126842"/>
      <w:r>
        <w:t>The terrestrial component can be deployed at national level.BDA2GC</w:t>
      </w:r>
      <w:bookmarkEnd w:id="80"/>
      <w:bookmarkEnd w:id="82"/>
    </w:p>
    <w:p w:rsidR="00E41E35" w:rsidRDefault="00E41E35" w:rsidP="00E41E35">
      <w:pPr>
        <w:pStyle w:val="ECCParagraph"/>
      </w:pPr>
      <w:r>
        <w:rPr>
          <w:lang w:val="en-US"/>
        </w:rPr>
        <w:lastRenderedPageBreak/>
        <w:t xml:space="preserve">The objective of BDA2GC is to </w:t>
      </w:r>
      <w:r>
        <w:t>provide access to broadband communication services for air passengers during continental flights on a Europe-wide basis.</w:t>
      </w:r>
    </w:p>
    <w:p w:rsidR="00E41E35" w:rsidRDefault="00E41E35" w:rsidP="00E41E35">
      <w:pPr>
        <w:pStyle w:val="ECCParagraph"/>
      </w:pPr>
      <w:r>
        <w:t>As such the implementation of BDA2GC in the band 1452-1492 MHz requires the harmonisation and identification of two 10 MHz FDD blocks or one 20 MHz TDD block within this band by ECC for pan-European use.</w:t>
      </w:r>
    </w:p>
    <w:p w:rsidR="00E41E35" w:rsidRDefault="00E41E35" w:rsidP="000F6780">
      <w:pPr>
        <w:pStyle w:val="Titre3"/>
      </w:pPr>
      <w:bookmarkStart w:id="83" w:name="_Toc322126843"/>
      <w:r>
        <w:t>Applications requiring the harmonisation and identification of spectrum for deployment at national level</w:t>
      </w:r>
      <w:bookmarkEnd w:id="83"/>
    </w:p>
    <w:p w:rsidR="00E41E35" w:rsidRDefault="00E41E35" w:rsidP="00E41E35">
      <w:pPr>
        <w:pStyle w:val="ECCParagraph"/>
      </w:pPr>
      <w:r>
        <w:rPr>
          <w:lang w:val="en-US"/>
        </w:rPr>
        <w:t>All terrestrial candidate applications</w:t>
      </w:r>
      <w:r>
        <w:t xml:space="preserve"> can be deployed on a national basis, including Terrestrial Broadcasting, Mobile Broadband, Mobile SDL, PPDR and PMSE. Fundamentally, this is due to the fact that the service area of a single base station (respectively access point) is much smaller than a country. </w:t>
      </w:r>
    </w:p>
    <w:p w:rsidR="00E41E35" w:rsidRDefault="00E41E35" w:rsidP="00E41E35">
      <w:pPr>
        <w:pStyle w:val="ECCParagraph"/>
      </w:pPr>
      <w:r>
        <w:t>Issues that may arise at borders of countries which allocate a given sub-band to two different systems are solved through cross-border coordination between the involved countries; usually using ECC agreed recommendations and methodologies.</w:t>
      </w:r>
    </w:p>
    <w:p w:rsidR="00E41E35" w:rsidRDefault="00E41E35" w:rsidP="00E41E35">
      <w:pPr>
        <w:pStyle w:val="ECCParagraph"/>
      </w:pPr>
      <w:r>
        <w:t>Despite the possibility to deploy the service on a national basis most of these systems require harmonisation at CEPT level, in particular of the band plan and the least restrictive technical conditions, in order to achieve economies of scale, ensure the availability of equipment, interoperability and roaming across CEPT countries. This is usually achieved through ECC Decision which harmonise the spectrum and in particular the band plan while maintaining the possibility to adapt to national requirements and needs. One typical example is the bands harmonised for the mobile services within CEPT, for which many countries may licence the whole band and some of them just a sub-band to take into account national requirements.</w:t>
      </w:r>
    </w:p>
    <w:p w:rsidR="00E41E35" w:rsidRDefault="00E41E35" w:rsidP="000F6780">
      <w:pPr>
        <w:pStyle w:val="Titre2"/>
      </w:pPr>
      <w:bookmarkStart w:id="84" w:name="_Toc322126844"/>
      <w:r>
        <w:t>Regulatory options considered</w:t>
      </w:r>
      <w:bookmarkEnd w:id="84"/>
    </w:p>
    <w:p w:rsidR="00E41E35" w:rsidRDefault="00E41E35" w:rsidP="00E41E35">
      <w:pPr>
        <w:pStyle w:val="ECCParagraph"/>
      </w:pPr>
      <w:r>
        <w:t>FM50 considered the following regulatory options based on the technical, spectrum and regulatory requirements of the candidate applications:</w:t>
      </w:r>
    </w:p>
    <w:p w:rsidR="00E41E35" w:rsidRDefault="00E41E35" w:rsidP="00E41E35">
      <w:pPr>
        <w:pStyle w:val="ECCParagraph"/>
      </w:pPr>
      <w:r>
        <w:rPr>
          <w:b/>
        </w:rPr>
        <w:t>Regulatory Option 1 (No Change – baseline for the impact assessment):</w:t>
      </w:r>
      <w:r>
        <w:t xml:space="preserve"> This option corresponds to the harmonised use of the band 1452-1492 MHz for terrestrial broadcasting and S-DAB (limited to 1479.5 – 1492 MHz) in CEPT. </w:t>
      </w:r>
    </w:p>
    <w:p w:rsidR="00E41E35" w:rsidRDefault="00E41E35" w:rsidP="000F6780">
      <w:pPr>
        <w:pStyle w:val="ECCParagraph"/>
        <w:numPr>
          <w:ilvl w:val="0"/>
          <w:numId w:val="29"/>
        </w:numPr>
        <w:rPr>
          <w:rFonts w:cs="Arial"/>
          <w:szCs w:val="20"/>
          <w:lang w:val="en-US"/>
        </w:rPr>
      </w:pPr>
      <w:r>
        <w:rPr>
          <w:rFonts w:cs="Arial"/>
          <w:bCs/>
          <w:szCs w:val="20"/>
          <w:lang w:val="en-US"/>
        </w:rPr>
        <w:t>The ECC will then</w:t>
      </w:r>
      <w:r>
        <w:rPr>
          <w:rFonts w:cs="Arial"/>
          <w:szCs w:val="20"/>
          <w:lang w:val="en-US"/>
        </w:rPr>
        <w:t xml:space="preserve"> maintain the harmonised band plan for the sub-band 1452-1479.5 MHz based on 1.7 MHz blocks and the MA02revCO07 Plan, optimizing the use of the spectrum for terrestrial broadcasting in CEPT. PMSE can use this sub-band on a secondary basis. </w:t>
      </w:r>
    </w:p>
    <w:p w:rsidR="00E41E35" w:rsidRDefault="00E41E35" w:rsidP="000F6780">
      <w:pPr>
        <w:pStyle w:val="ECCParagraph"/>
        <w:numPr>
          <w:ilvl w:val="0"/>
          <w:numId w:val="29"/>
        </w:numPr>
        <w:rPr>
          <w:rFonts w:cs="Arial"/>
          <w:szCs w:val="20"/>
          <w:lang w:val="en-US"/>
        </w:rPr>
      </w:pPr>
      <w:r>
        <w:rPr>
          <w:rFonts w:cs="Arial"/>
          <w:szCs w:val="20"/>
          <w:lang w:val="en-US"/>
        </w:rPr>
        <w:t>The ECC will also maintain the harmonisation of the band 1479.5-1492 MHz for S-DAB as per ECC/DEC/(03)02 Decision.</w:t>
      </w:r>
    </w:p>
    <w:p w:rsidR="00E41E35" w:rsidRDefault="00E41E35" w:rsidP="00E41E35">
      <w:pPr>
        <w:pStyle w:val="ECCParagraph"/>
        <w:spacing w:after="0"/>
        <w:jc w:val="center"/>
        <w:rPr>
          <w:rFonts w:cs="Arial"/>
          <w:szCs w:val="20"/>
          <w:lang w:val="en-US"/>
        </w:rPr>
      </w:pPr>
      <w:r>
        <w:rPr>
          <w:noProof/>
          <w:lang w:val="fr-FR" w:eastAsia="fr-FR"/>
        </w:rPr>
        <w:drawing>
          <wp:inline distT="0" distB="0" distL="0" distR="0" wp14:anchorId="2A0EEAE4" wp14:editId="195605C5">
            <wp:extent cx="5419725" cy="809625"/>
            <wp:effectExtent l="0" t="0" r="9525" b="9525"/>
            <wp:docPr id="28" name="Picture 28" descr="Description: cid:image001.jpg@01CD02D2.399EF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id:image001.jpg@01CD02D2.399EF98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9725" cy="809625"/>
                    </a:xfrm>
                    <a:prstGeom prst="rect">
                      <a:avLst/>
                    </a:prstGeom>
                    <a:noFill/>
                    <a:ln>
                      <a:noFill/>
                    </a:ln>
                  </pic:spPr>
                </pic:pic>
              </a:graphicData>
            </a:graphic>
          </wp:inline>
        </w:drawing>
      </w:r>
    </w:p>
    <w:p w:rsidR="00E41E35" w:rsidRDefault="00E41E35" w:rsidP="007E42E6">
      <w:pPr>
        <w:pStyle w:val="ECCFiguretitle"/>
      </w:pPr>
      <w:r>
        <w:t>1452-1479.5 MHz for terrestrial broadcasting and 1479.5-1492 MHz for satellite broadcasting</w:t>
      </w:r>
    </w:p>
    <w:p w:rsidR="00E41E35" w:rsidRDefault="00E41E35" w:rsidP="00E41E35">
      <w:pPr>
        <w:pStyle w:val="ECCParagraph"/>
      </w:pPr>
      <w:r>
        <w:rPr>
          <w:b/>
        </w:rPr>
        <w:t>Regulatory Option 2:</w:t>
      </w:r>
      <w:r>
        <w:t xml:space="preserve"> This option corresponds to the harmonised use of the band 1452-1492 MHz  for Mobile Broadband / Mobile SDL in CEPT </w:t>
      </w:r>
      <w:r>
        <w:rPr>
          <w:rFonts w:cs="Arial"/>
          <w:szCs w:val="20"/>
          <w:lang w:val="en-US"/>
        </w:rPr>
        <w:t xml:space="preserve">while allowing at the same time individual countries to adapt to national circumstances in part of the band for other terrestrial applications i.e. Terrestrial Broadcasting, </w:t>
      </w:r>
      <w:r>
        <w:t>PPDR (</w:t>
      </w:r>
      <w:r>
        <w:rPr>
          <w:szCs w:val="22"/>
        </w:rPr>
        <w:t xml:space="preserve">Broadband </w:t>
      </w:r>
      <w:r>
        <w:t xml:space="preserve">PPDR for temporary and local use) and PMSE (secondary basis). </w:t>
      </w:r>
    </w:p>
    <w:p w:rsidR="00E41E35" w:rsidRDefault="00E41E35" w:rsidP="000F6780">
      <w:pPr>
        <w:pStyle w:val="ECCParagraph"/>
        <w:numPr>
          <w:ilvl w:val="0"/>
          <w:numId w:val="29"/>
        </w:numPr>
        <w:rPr>
          <w:rFonts w:cs="Arial"/>
          <w:szCs w:val="20"/>
          <w:lang w:val="en-US"/>
        </w:rPr>
      </w:pPr>
      <w:r>
        <w:lastRenderedPageBreak/>
        <w:t>The ECC will adopt an ECC Decision designating the band for terrestrial Electronic Communication Services (TRA-ECS) and defining the Least Restrictive Technical Conditions with a</w:t>
      </w:r>
      <w:r>
        <w:rPr>
          <w:rFonts w:cs="Arial"/>
          <w:szCs w:val="20"/>
          <w:lang w:val="en-US"/>
        </w:rPr>
        <w:t xml:space="preserve"> harmonised band plan for the 1452-1492 MHz band, based on 8 blocks of 5 MHz with associated generic BEM and restricted BEM (for coexistence between uplink and downlink blocks). </w:t>
      </w:r>
    </w:p>
    <w:p w:rsidR="00E41E35" w:rsidRDefault="00E41E35" w:rsidP="000F6780">
      <w:pPr>
        <w:pStyle w:val="ECCParagraph"/>
        <w:numPr>
          <w:ilvl w:val="0"/>
          <w:numId w:val="29"/>
        </w:numPr>
        <w:rPr>
          <w:rFonts w:cs="Arial"/>
          <w:szCs w:val="20"/>
          <w:lang w:val="en-US"/>
        </w:rPr>
      </w:pPr>
      <w:r>
        <w:rPr>
          <w:rFonts w:cs="Arial"/>
          <w:szCs w:val="20"/>
          <w:lang w:val="en-US"/>
        </w:rPr>
        <w:t xml:space="preserve">The MA02revCO07 will be retained for cross-border coordination bilateral agreements in the sub-band 1452-1479.5 MHz, between Terrestrial Broadcasting (for countries wishing to deploy terrestrial broadcasting in part of the band) and mobile. This is an equivalent framework as the one developed by CEPT for the 800 MHz band with GE06 – ECC DEC/(09)03. </w:t>
      </w:r>
    </w:p>
    <w:p w:rsidR="00E41E35" w:rsidRDefault="00E41E35" w:rsidP="000F6780">
      <w:pPr>
        <w:pStyle w:val="ECCParagraph"/>
        <w:numPr>
          <w:ilvl w:val="0"/>
          <w:numId w:val="29"/>
        </w:numPr>
        <w:rPr>
          <w:rFonts w:cs="Arial"/>
          <w:szCs w:val="20"/>
          <w:lang w:val="en-US"/>
        </w:rPr>
      </w:pPr>
      <w:r>
        <w:rPr>
          <w:rFonts w:cs="Arial"/>
          <w:szCs w:val="20"/>
          <w:lang w:val="en-US"/>
        </w:rPr>
        <w:t xml:space="preserve">Mobile to mobile cross-border coordination in the band 1452 – 1492 MHz will be subject to an ECC Recommendation for bilateral agreements (see Work Item </w:t>
      </w:r>
      <w:r>
        <w:rPr>
          <w:rFonts w:cs="Arial"/>
          <w:szCs w:val="20"/>
        </w:rPr>
        <w:t>Gen_6_C in ECC PT1)</w:t>
      </w:r>
      <w:r>
        <w:rPr>
          <w:rFonts w:cs="Arial"/>
          <w:szCs w:val="20"/>
          <w:lang w:val="en-US"/>
        </w:rPr>
        <w:t xml:space="preserve">. </w:t>
      </w:r>
    </w:p>
    <w:p w:rsidR="00E41E35" w:rsidRDefault="00E41E35" w:rsidP="000F6780">
      <w:pPr>
        <w:pStyle w:val="ECCParagraph"/>
        <w:numPr>
          <w:ilvl w:val="0"/>
          <w:numId w:val="29"/>
        </w:numPr>
      </w:pPr>
      <w:r>
        <w:rPr>
          <w:rFonts w:cs="Arial"/>
          <w:szCs w:val="20"/>
          <w:lang w:val="en-US"/>
        </w:rPr>
        <w:t>The ECC/DEC/(03)02 Decision will need to be suppressed.</w:t>
      </w:r>
    </w:p>
    <w:p w:rsidR="00E41E35" w:rsidRDefault="00E41E35" w:rsidP="000F6780">
      <w:pPr>
        <w:pStyle w:val="ECCParagraph"/>
        <w:numPr>
          <w:ilvl w:val="0"/>
          <w:numId w:val="29"/>
        </w:numPr>
      </w:pPr>
      <w:r>
        <w:rPr>
          <w:rFonts w:cs="Arial"/>
          <w:szCs w:val="20"/>
          <w:lang w:val="en-US"/>
        </w:rPr>
        <w:t>Define the pfd limits to be included in Article 21 of the RR at the next WRC to protect TRA-ECS use within CEPT from harmful interference from satellite use outside CEPT</w:t>
      </w:r>
      <w:r>
        <w:t>.</w:t>
      </w:r>
    </w:p>
    <w:p w:rsidR="00E41E35" w:rsidRDefault="00E41E35" w:rsidP="00E41E35">
      <w:pPr>
        <w:rPr>
          <w:rFonts w:cs="Arial"/>
          <w:szCs w:val="20"/>
        </w:rPr>
      </w:pPr>
    </w:p>
    <w:p w:rsidR="00E41E35" w:rsidRDefault="00E41E35" w:rsidP="00E41E35">
      <w:pPr>
        <w:jc w:val="center"/>
        <w:rPr>
          <w:rFonts w:cs="Arial"/>
          <w:szCs w:val="20"/>
        </w:rPr>
      </w:pPr>
    </w:p>
    <w:p w:rsidR="00E41E35" w:rsidRDefault="00E41E35" w:rsidP="00E41E35">
      <w:pPr>
        <w:jc w:val="center"/>
        <w:rPr>
          <w:rFonts w:cs="Arial"/>
          <w:szCs w:val="20"/>
        </w:rPr>
      </w:pPr>
      <w:r>
        <w:rPr>
          <w:rFonts w:cs="Arial"/>
          <w:noProof/>
          <w:szCs w:val="20"/>
          <w:lang w:val="fr-FR" w:eastAsia="fr-FR"/>
        </w:rPr>
        <w:drawing>
          <wp:inline distT="0" distB="0" distL="0" distR="0" wp14:anchorId="14282159" wp14:editId="62941172">
            <wp:extent cx="5305425" cy="6953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5425" cy="695325"/>
                    </a:xfrm>
                    <a:prstGeom prst="rect">
                      <a:avLst/>
                    </a:prstGeom>
                    <a:noFill/>
                    <a:ln>
                      <a:noFill/>
                    </a:ln>
                  </pic:spPr>
                </pic:pic>
              </a:graphicData>
            </a:graphic>
          </wp:inline>
        </w:drawing>
      </w:r>
    </w:p>
    <w:p w:rsidR="00E41E35" w:rsidRDefault="00E41E35" w:rsidP="007E42E6">
      <w:pPr>
        <w:pStyle w:val="ECCFiguretitle"/>
      </w:pPr>
      <w:r>
        <w:t xml:space="preserve">Harmonisation of 1452-1492 MHz for TRA-ECS based on 5 MHz block size </w:t>
      </w:r>
    </w:p>
    <w:p w:rsidR="00E41E35" w:rsidRDefault="00E41E35" w:rsidP="00E41E35">
      <w:pPr>
        <w:pStyle w:val="ECCParagraph"/>
      </w:pPr>
      <w:r>
        <w:rPr>
          <w:b/>
        </w:rPr>
        <w:t>Regulatory Option 3:</w:t>
      </w:r>
      <w:r>
        <w:t xml:space="preserve"> This option corresponds to the harmonised use of 20 MH</w:t>
      </w:r>
      <w:r w:rsidR="000F6780">
        <w:t>z in the band 1452-1492 MHz for</w:t>
      </w:r>
      <w:r>
        <w:t xml:space="preserve"> Broadband Direct-Air-to-Ground Communication in CEPT </w:t>
      </w:r>
      <w:r>
        <w:rPr>
          <w:rFonts w:cs="Arial"/>
          <w:szCs w:val="20"/>
          <w:lang w:val="en-US"/>
        </w:rPr>
        <w:t>while allowing individual countries to implement - according to national needs – other applications, if the spectrum requirements of those applications are satisfied in the remaining up to 20 MHz, subject to the necessary guard bands</w:t>
      </w:r>
      <w:r>
        <w:t xml:space="preserve">. </w:t>
      </w:r>
    </w:p>
    <w:p w:rsidR="00E41E35" w:rsidRDefault="00E41E35" w:rsidP="000F6780">
      <w:pPr>
        <w:pStyle w:val="ECCParagraph"/>
        <w:numPr>
          <w:ilvl w:val="0"/>
          <w:numId w:val="30"/>
        </w:numPr>
        <w:rPr>
          <w:rFonts w:cs="Arial"/>
          <w:szCs w:val="20"/>
        </w:rPr>
      </w:pPr>
      <w:r>
        <w:t>The ECC will adopt an ECC Decision designating two 10 MHz FDD blocks or one 20 MHz TDD block for BDA2GC as illustrated in the following figures.</w:t>
      </w:r>
    </w:p>
    <w:p w:rsidR="00E41E35" w:rsidRDefault="00E41E35" w:rsidP="00E41E35">
      <w:pPr>
        <w:jc w:val="center"/>
        <w:rPr>
          <w:rFonts w:cs="Arial"/>
          <w:szCs w:val="20"/>
        </w:rPr>
      </w:pPr>
      <w:r>
        <w:rPr>
          <w:noProof/>
          <w:lang w:val="fr-FR" w:eastAsia="fr-FR"/>
        </w:rPr>
        <w:drawing>
          <wp:inline distT="0" distB="0" distL="0" distR="0" wp14:anchorId="656E3281" wp14:editId="4F9474E0">
            <wp:extent cx="4619625" cy="981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l="8913" t="33900" r="35777" b="45270"/>
                    <a:stretch>
                      <a:fillRect/>
                    </a:stretch>
                  </pic:blipFill>
                  <pic:spPr bwMode="auto">
                    <a:xfrm>
                      <a:off x="0" y="0"/>
                      <a:ext cx="4619625" cy="981075"/>
                    </a:xfrm>
                    <a:prstGeom prst="rect">
                      <a:avLst/>
                    </a:prstGeom>
                    <a:noFill/>
                    <a:ln>
                      <a:noFill/>
                    </a:ln>
                  </pic:spPr>
                </pic:pic>
              </a:graphicData>
            </a:graphic>
          </wp:inline>
        </w:drawing>
      </w:r>
    </w:p>
    <w:p w:rsidR="00E41E35" w:rsidRDefault="00E41E35" w:rsidP="007E42E6">
      <w:pPr>
        <w:pStyle w:val="ECCFiguretitle"/>
      </w:pPr>
      <w:r>
        <w:t>Harmonisation and designation of two 10 MHz FDD blocks to BDA2GC</w:t>
      </w:r>
    </w:p>
    <w:p w:rsidR="00E41E35" w:rsidRDefault="00E41E35" w:rsidP="00E41E35">
      <w:pPr>
        <w:pStyle w:val="ECCParagraph"/>
        <w:jc w:val="center"/>
      </w:pPr>
      <w:r>
        <w:rPr>
          <w:noProof/>
          <w:lang w:val="fr-FR" w:eastAsia="fr-FR"/>
        </w:rPr>
        <w:drawing>
          <wp:inline distT="0" distB="0" distL="0" distR="0" wp14:anchorId="0D549270" wp14:editId="00829D18">
            <wp:extent cx="4848225" cy="7715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l="8887" t="40723" r="35825" b="43631"/>
                    <a:stretch>
                      <a:fillRect/>
                    </a:stretch>
                  </pic:blipFill>
                  <pic:spPr bwMode="auto">
                    <a:xfrm>
                      <a:off x="0" y="0"/>
                      <a:ext cx="4848225" cy="771525"/>
                    </a:xfrm>
                    <a:prstGeom prst="rect">
                      <a:avLst/>
                    </a:prstGeom>
                    <a:noFill/>
                    <a:ln>
                      <a:noFill/>
                    </a:ln>
                  </pic:spPr>
                </pic:pic>
              </a:graphicData>
            </a:graphic>
          </wp:inline>
        </w:drawing>
      </w:r>
    </w:p>
    <w:p w:rsidR="00E41E35" w:rsidRDefault="00E41E35" w:rsidP="007E42E6">
      <w:pPr>
        <w:pStyle w:val="ECCFiguretitle"/>
      </w:pPr>
      <w:r>
        <w:t>Example for harmonisation and designation of one 20 MHz TDD block to BDA2GC</w:t>
      </w:r>
    </w:p>
    <w:p w:rsidR="00E41E35" w:rsidRDefault="00E41E35" w:rsidP="000F6780">
      <w:pPr>
        <w:pStyle w:val="ECCParagraph"/>
        <w:numPr>
          <w:ilvl w:val="0"/>
          <w:numId w:val="31"/>
        </w:numPr>
      </w:pPr>
      <w:r>
        <w:t xml:space="preserve">The </w:t>
      </w:r>
      <w:r>
        <w:rPr>
          <w:rFonts w:cs="Arial"/>
          <w:szCs w:val="20"/>
          <w:lang w:val="en-US"/>
        </w:rPr>
        <w:t>ECC/DEC/(03)02 Decision will need to be suppressed.</w:t>
      </w:r>
    </w:p>
    <w:p w:rsidR="00E41E35" w:rsidRDefault="00E41E35" w:rsidP="000F6780">
      <w:pPr>
        <w:pStyle w:val="ECCParagraph"/>
        <w:numPr>
          <w:ilvl w:val="0"/>
          <w:numId w:val="31"/>
        </w:numPr>
      </w:pPr>
      <w:r>
        <w:lastRenderedPageBreak/>
        <w:t xml:space="preserve">The harmonisation on a European basis for BDA2GC may lead to a revision of the MA02revCO07 Arrangement in order to consider the stations already deployed or the entries in the frequency ranges designated for BDA2GC.  </w:t>
      </w:r>
    </w:p>
    <w:p w:rsidR="00E41E35" w:rsidRDefault="00E41E35" w:rsidP="000F6780">
      <w:pPr>
        <w:pStyle w:val="ECCParagraph"/>
        <w:numPr>
          <w:ilvl w:val="0"/>
          <w:numId w:val="31"/>
        </w:numPr>
      </w:pPr>
      <w:r>
        <w:t>Pursue the suppression in the RR of the exemption of Aeronautical Mobile Service in the band 1452 – 1492 MHz.</w:t>
      </w:r>
    </w:p>
    <w:p w:rsidR="00E41E35" w:rsidRDefault="00E41E35" w:rsidP="000F6780">
      <w:pPr>
        <w:pStyle w:val="ECCParagraph"/>
        <w:numPr>
          <w:ilvl w:val="0"/>
          <w:numId w:val="31"/>
        </w:numPr>
      </w:pPr>
      <w:r>
        <w:rPr>
          <w:rFonts w:cs="Arial"/>
          <w:szCs w:val="20"/>
          <w:lang w:val="en-US"/>
        </w:rPr>
        <w:t xml:space="preserve">Define the pfd limits to be included in Article 21 of the RR at the next WRC to protect </w:t>
      </w:r>
      <w:r>
        <w:t>BDA2GC</w:t>
      </w:r>
      <w:r>
        <w:rPr>
          <w:rFonts w:cs="Arial"/>
          <w:szCs w:val="20"/>
          <w:lang w:val="en-US"/>
        </w:rPr>
        <w:t xml:space="preserve"> use within CEPT from harmful interference from satellite use outside CEPT</w:t>
      </w:r>
      <w:r>
        <w:t>.</w:t>
      </w:r>
    </w:p>
    <w:p w:rsidR="00E41E35" w:rsidRDefault="00E41E35" w:rsidP="00E41E35">
      <w:pPr>
        <w:pStyle w:val="ECCParagraph"/>
        <w:rPr>
          <w:b/>
        </w:rPr>
      </w:pPr>
      <w:r>
        <w:rPr>
          <w:b/>
        </w:rPr>
        <w:t>Regulatory Option 4:</w:t>
      </w:r>
    </w:p>
    <w:p w:rsidR="00E41E35" w:rsidRDefault="00E41E35" w:rsidP="00E41E35">
      <w:pPr>
        <w:pStyle w:val="ECCParagraph"/>
      </w:pPr>
      <w:r>
        <w:t>This option corresponds to the harmonised use of the band 1452-1492 MHz permitting S-DAB</w:t>
      </w:r>
      <w:r>
        <w:rPr>
          <w:rStyle w:val="Appelnotedebasdep"/>
        </w:rPr>
        <w:footnoteReference w:id="23"/>
      </w:r>
      <w:r>
        <w:t xml:space="preserve"> in the sub-band 1467 – 1492 MHz </w:t>
      </w:r>
      <w:r>
        <w:rPr>
          <w:rFonts w:cs="Arial"/>
          <w:szCs w:val="20"/>
          <w:lang w:val="en-US"/>
        </w:rPr>
        <w:t>while allowing individual countries to implement - according to national needs – other applications, if the spectrum requirements of those applications are satisfied in the remaining up to 15 MHz, subject to the necessary guard bands</w:t>
      </w:r>
      <w:r>
        <w:t xml:space="preserve">. </w:t>
      </w:r>
    </w:p>
    <w:p w:rsidR="00E41E35" w:rsidRDefault="00E41E35" w:rsidP="00E41E35">
      <w:pPr>
        <w:pStyle w:val="ECCParagraph"/>
        <w:jc w:val="center"/>
      </w:pPr>
      <w:r>
        <w:rPr>
          <w:noProof/>
          <w:lang w:val="fr-FR" w:eastAsia="fr-FR"/>
        </w:rPr>
        <w:drawing>
          <wp:inline distT="0" distB="0" distL="0" distR="0" wp14:anchorId="2DD1635B" wp14:editId="54DD7865">
            <wp:extent cx="4657725" cy="8858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57725" cy="885825"/>
                    </a:xfrm>
                    <a:prstGeom prst="rect">
                      <a:avLst/>
                    </a:prstGeom>
                    <a:noFill/>
                    <a:ln>
                      <a:noFill/>
                    </a:ln>
                  </pic:spPr>
                </pic:pic>
              </a:graphicData>
            </a:graphic>
          </wp:inline>
        </w:drawing>
      </w:r>
    </w:p>
    <w:p w:rsidR="00E41E35" w:rsidRDefault="00E41E35" w:rsidP="007E42E6">
      <w:pPr>
        <w:pStyle w:val="ECCFiguretitle"/>
      </w:pPr>
      <w:r>
        <w:t>Harmonisation of 1467-1492 MHz for S-DAB and 1452-1467 MHz for TRA-ECS</w:t>
      </w:r>
    </w:p>
    <w:p w:rsidR="00E41E35" w:rsidRDefault="00E41E35" w:rsidP="00E41E35">
      <w:pPr>
        <w:pStyle w:val="ECCParagraph"/>
      </w:pPr>
      <w:r>
        <w:rPr>
          <w:rFonts w:cs="Arial"/>
          <w:szCs w:val="20"/>
          <w:lang w:val="en-US"/>
        </w:rPr>
        <w:t xml:space="preserve">In the frequency range </w:t>
      </w:r>
      <w:r>
        <w:t>1467 – 1492 MHz</w:t>
      </w:r>
      <w:r>
        <w:rPr>
          <w:rFonts w:cs="Arial"/>
          <w:szCs w:val="20"/>
          <w:lang w:val="en-US"/>
        </w:rPr>
        <w:t xml:space="preserve">, countries may, instead of S-DAB, adapt to national circumstances for terrestrial applications (i.e. Mobile Broadband, Mobile SDL, Terrestrial Broadcasting, </w:t>
      </w:r>
      <w:r>
        <w:t>PPDR (</w:t>
      </w:r>
      <w:r>
        <w:rPr>
          <w:szCs w:val="22"/>
        </w:rPr>
        <w:t xml:space="preserve">Broadband </w:t>
      </w:r>
      <w:r>
        <w:t>PPDR for temporary and local use) and PMSE (secondary basis)) subject to compatibility studies.</w:t>
      </w:r>
    </w:p>
    <w:p w:rsidR="00E41E35" w:rsidRDefault="00E41E35" w:rsidP="000F6780">
      <w:pPr>
        <w:pStyle w:val="ECCParagraph"/>
        <w:numPr>
          <w:ilvl w:val="0"/>
          <w:numId w:val="32"/>
        </w:numPr>
      </w:pPr>
      <w:r>
        <w:t>The ECC will adopt an ECC Decision designating the band 1467-1492 MHz for S-DAB and 1452-1467 MHz for terrestrial Electronic Communication Services (TRA-ECS). ECC will have to define the Least Restrictive Technical Conditions with a</w:t>
      </w:r>
      <w:r>
        <w:rPr>
          <w:rFonts w:cs="Arial"/>
          <w:szCs w:val="20"/>
          <w:lang w:val="en-US"/>
        </w:rPr>
        <w:t xml:space="preserve"> harmonised band plan for the 1452-1467 MHz band, based on 3 blocks of 5 MHz with associated generic BEM and restricted BEM (for coexistence between uplink and downlink blocks). </w:t>
      </w:r>
    </w:p>
    <w:p w:rsidR="00E41E35" w:rsidRDefault="00E41E35" w:rsidP="000F6780">
      <w:pPr>
        <w:pStyle w:val="ECCParagraph"/>
        <w:numPr>
          <w:ilvl w:val="0"/>
          <w:numId w:val="32"/>
        </w:numPr>
      </w:pPr>
      <w:r>
        <w:rPr>
          <w:rFonts w:cs="Arial"/>
          <w:szCs w:val="20"/>
          <w:lang w:val="en-US"/>
        </w:rPr>
        <w:t>ECC will conduct the appropriate compatibility studies to assess the feasibility for those individual CEPT administrations wishing to use terrestrial applications in the frequency band 1467 – 1492 MHz to be able to do so.</w:t>
      </w:r>
    </w:p>
    <w:p w:rsidR="00E41E35" w:rsidRDefault="00E41E35" w:rsidP="000F6780">
      <w:pPr>
        <w:pStyle w:val="ECCParagraph"/>
        <w:numPr>
          <w:ilvl w:val="0"/>
          <w:numId w:val="32"/>
        </w:numPr>
      </w:pPr>
      <w:r>
        <w:t xml:space="preserve">The harmonisation on a European basis for S-DAB may lead to a revision of the MA02revCO07 Arrangement in order to consider the stations already deployed or the entries in the frequency ranges designated for S-DAB.  </w:t>
      </w:r>
    </w:p>
    <w:p w:rsidR="00E41E35" w:rsidRDefault="00E41E35" w:rsidP="000F6780">
      <w:pPr>
        <w:pStyle w:val="ECCParagraph"/>
        <w:numPr>
          <w:ilvl w:val="0"/>
          <w:numId w:val="32"/>
        </w:numPr>
      </w:pPr>
      <w:r>
        <w:rPr>
          <w:rFonts w:cs="Arial"/>
          <w:szCs w:val="20"/>
          <w:lang w:val="en-US"/>
        </w:rPr>
        <w:t>The ECC/DEC/(03)02 Decision will need to be suppressed or revised.</w:t>
      </w:r>
    </w:p>
    <w:p w:rsidR="00E41E35" w:rsidRDefault="00E41E35" w:rsidP="00E41E35">
      <w:pPr>
        <w:pStyle w:val="ECCParagraph"/>
        <w:ind w:left="720"/>
        <w:rPr>
          <w:rFonts w:cs="Arial"/>
          <w:szCs w:val="20"/>
          <w:lang w:val="en-US"/>
        </w:rPr>
      </w:pPr>
    </w:p>
    <w:p w:rsidR="00E41E35" w:rsidRDefault="00E41E35" w:rsidP="00E41E35">
      <w:pPr>
        <w:pStyle w:val="ECCParagraph"/>
        <w:rPr>
          <w:b/>
        </w:rPr>
      </w:pPr>
    </w:p>
    <w:p w:rsidR="00E41E35" w:rsidRDefault="00E41E35" w:rsidP="00E41E35">
      <w:pPr>
        <w:rPr>
          <w:lang w:val="en-GB"/>
        </w:rPr>
      </w:pPr>
    </w:p>
    <w:p w:rsidR="00E41E35" w:rsidRDefault="00E41E35" w:rsidP="006D1BB1">
      <w:pPr>
        <w:rPr>
          <w:lang w:val="en-GB"/>
        </w:rPr>
      </w:pPr>
    </w:p>
    <w:p w:rsidR="006D1BB1" w:rsidRPr="00026A63" w:rsidRDefault="006D1BB1" w:rsidP="00026A63">
      <w:pPr>
        <w:pStyle w:val="ECCParagraph"/>
      </w:pPr>
    </w:p>
    <w:p w:rsidR="008A54FC" w:rsidRDefault="00026A63" w:rsidP="00026A63">
      <w:pPr>
        <w:pStyle w:val="ECCAnnexheading1"/>
      </w:pPr>
      <w:bookmarkStart w:id="85" w:name="_Toc322126845"/>
      <w:r w:rsidRPr="009251D6">
        <w:rPr>
          <w:lang w:val="en-US"/>
        </w:rPr>
        <w:lastRenderedPageBreak/>
        <w:t>Extract of the Radio Regulations Article 5 for 1452-1492 MH</w:t>
      </w:r>
      <w:r w:rsidRPr="009251D6">
        <w:rPr>
          <w:caps w:val="0"/>
          <w:lang w:val="en-US"/>
        </w:rPr>
        <w:t>z</w:t>
      </w:r>
      <w:bookmarkEnd w:id="85"/>
    </w:p>
    <w:tbl>
      <w:tblPr>
        <w:tblW w:w="10031"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786"/>
        <w:gridCol w:w="2162"/>
        <w:gridCol w:w="3083"/>
      </w:tblGrid>
      <w:tr w:rsidR="00026A63" w:rsidRPr="00FE1795" w:rsidTr="00413A48">
        <w:trPr>
          <w:trHeight w:val="180"/>
          <w:tblHeader/>
        </w:trPr>
        <w:tc>
          <w:tcPr>
            <w:tcW w:w="10031" w:type="dxa"/>
            <w:gridSpan w:val="3"/>
            <w:tcBorders>
              <w:left w:val="single" w:sz="8" w:space="0" w:color="FFFFFF"/>
              <w:bottom w:val="single" w:sz="8" w:space="0" w:color="FFFFFF"/>
            </w:tcBorders>
            <w:shd w:val="clear" w:color="auto" w:fill="D2232A"/>
            <w:vAlign w:val="center"/>
          </w:tcPr>
          <w:p w:rsidR="00026A63" w:rsidRPr="00FE1795" w:rsidRDefault="00026A63" w:rsidP="00026A63">
            <w:pPr>
              <w:spacing w:line="288" w:lineRule="auto"/>
              <w:jc w:val="center"/>
              <w:rPr>
                <w:b/>
                <w:color w:val="FFFFFF"/>
              </w:rPr>
            </w:pPr>
            <w:r>
              <w:rPr>
                <w:b/>
                <w:color w:val="FFFFFF"/>
              </w:rPr>
              <w:t>Allocation to services</w:t>
            </w:r>
          </w:p>
        </w:tc>
      </w:tr>
      <w:tr w:rsidR="00026A63" w:rsidRPr="00FE1795" w:rsidTr="00413A48">
        <w:trPr>
          <w:trHeight w:val="180"/>
          <w:tblHeader/>
        </w:trPr>
        <w:tc>
          <w:tcPr>
            <w:tcW w:w="4786" w:type="dxa"/>
            <w:tcBorders>
              <w:top w:val="single" w:sz="8" w:space="0" w:color="FFFFFF"/>
              <w:left w:val="single" w:sz="8" w:space="0" w:color="FFFFFF"/>
              <w:right w:val="single" w:sz="8" w:space="0" w:color="FFFFFF"/>
            </w:tcBorders>
            <w:shd w:val="clear" w:color="auto" w:fill="D2232A"/>
            <w:vAlign w:val="center"/>
          </w:tcPr>
          <w:p w:rsidR="00026A63" w:rsidRPr="00FE1795" w:rsidRDefault="00026A63" w:rsidP="00026A63">
            <w:pPr>
              <w:spacing w:line="288" w:lineRule="auto"/>
              <w:jc w:val="center"/>
              <w:rPr>
                <w:b/>
                <w:color w:val="FFFFFF"/>
              </w:rPr>
            </w:pPr>
            <w:r>
              <w:rPr>
                <w:b/>
                <w:color w:val="FFFFFF"/>
              </w:rPr>
              <w:t>Region 1</w:t>
            </w:r>
          </w:p>
        </w:tc>
        <w:tc>
          <w:tcPr>
            <w:tcW w:w="2162" w:type="dxa"/>
            <w:tcBorders>
              <w:top w:val="single" w:sz="8" w:space="0" w:color="FFFFFF"/>
              <w:left w:val="single" w:sz="8" w:space="0" w:color="FFFFFF"/>
              <w:right w:val="single" w:sz="8" w:space="0" w:color="FFFFFF"/>
            </w:tcBorders>
            <w:shd w:val="clear" w:color="auto" w:fill="D2232A"/>
            <w:vAlign w:val="center"/>
          </w:tcPr>
          <w:p w:rsidR="00026A63" w:rsidRPr="00FE1795" w:rsidRDefault="00026A63" w:rsidP="00026A63">
            <w:pPr>
              <w:spacing w:line="288" w:lineRule="auto"/>
              <w:jc w:val="center"/>
              <w:rPr>
                <w:b/>
                <w:color w:val="FFFFFF"/>
              </w:rPr>
            </w:pPr>
            <w:r>
              <w:rPr>
                <w:b/>
                <w:color w:val="FFFFFF"/>
              </w:rPr>
              <w:t>Region 2</w:t>
            </w:r>
          </w:p>
        </w:tc>
        <w:tc>
          <w:tcPr>
            <w:tcW w:w="3083" w:type="dxa"/>
            <w:tcBorders>
              <w:top w:val="single" w:sz="8" w:space="0" w:color="FFFFFF"/>
              <w:left w:val="single" w:sz="8" w:space="0" w:color="FFFFFF"/>
            </w:tcBorders>
            <w:shd w:val="clear" w:color="auto" w:fill="D2232A"/>
            <w:vAlign w:val="center"/>
          </w:tcPr>
          <w:p w:rsidR="00026A63" w:rsidRPr="00FE1795" w:rsidRDefault="00026A63" w:rsidP="00026A63">
            <w:pPr>
              <w:spacing w:line="288" w:lineRule="auto"/>
              <w:jc w:val="center"/>
              <w:rPr>
                <w:b/>
                <w:color w:val="FFFFFF"/>
              </w:rPr>
            </w:pPr>
            <w:r>
              <w:rPr>
                <w:b/>
                <w:color w:val="FFFFFF"/>
              </w:rPr>
              <w:t>Region 3</w:t>
            </w:r>
          </w:p>
        </w:tc>
      </w:tr>
      <w:tr w:rsidR="00413A48" w:rsidTr="00413A48">
        <w:trPr>
          <w:trHeight w:val="584"/>
        </w:trPr>
        <w:tc>
          <w:tcPr>
            <w:tcW w:w="4786" w:type="dxa"/>
            <w:vAlign w:val="center"/>
          </w:tcPr>
          <w:p w:rsidR="00413A48" w:rsidRPr="009251D6" w:rsidRDefault="00413A48" w:rsidP="00413A48">
            <w:pPr>
              <w:pStyle w:val="TableTextS5"/>
              <w:spacing w:line="220" w:lineRule="exact"/>
              <w:rPr>
                <w:rFonts w:ascii="Arial" w:hAnsi="Arial" w:cs="Arial"/>
                <w:color w:val="000000"/>
                <w:sz w:val="22"/>
                <w:szCs w:val="22"/>
                <w:lang w:val="en-US"/>
              </w:rPr>
            </w:pPr>
            <w:r w:rsidRPr="009251D6">
              <w:rPr>
                <w:rStyle w:val="Tablefreq"/>
                <w:color w:val="000000"/>
                <w:sz w:val="22"/>
                <w:szCs w:val="22"/>
                <w:lang w:val="en-US"/>
              </w:rPr>
              <w:t>1 452-1 492</w:t>
            </w:r>
          </w:p>
          <w:p w:rsidR="00413A48" w:rsidRPr="009251D6" w:rsidRDefault="00413A48" w:rsidP="00413A48">
            <w:pPr>
              <w:pStyle w:val="TableTextS5"/>
              <w:spacing w:line="220" w:lineRule="exact"/>
              <w:rPr>
                <w:rFonts w:ascii="Arial" w:hAnsi="Arial" w:cs="Arial"/>
                <w:color w:val="000000"/>
                <w:sz w:val="22"/>
                <w:szCs w:val="22"/>
                <w:lang w:val="en-US"/>
              </w:rPr>
            </w:pPr>
            <w:r w:rsidRPr="009251D6">
              <w:rPr>
                <w:rFonts w:ascii="Arial" w:hAnsi="Arial" w:cs="Arial"/>
                <w:color w:val="000000"/>
                <w:sz w:val="22"/>
                <w:szCs w:val="22"/>
                <w:lang w:val="en-US"/>
              </w:rPr>
              <w:t>FIXED</w:t>
            </w:r>
          </w:p>
          <w:p w:rsidR="00413A48" w:rsidRPr="009251D6" w:rsidRDefault="00413A48" w:rsidP="00413A48">
            <w:pPr>
              <w:pStyle w:val="TableTextS5"/>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MOBILE except aeronautical</w:t>
            </w:r>
            <w:r>
              <w:rPr>
                <w:rFonts w:ascii="Arial" w:hAnsi="Arial" w:cs="Arial"/>
                <w:color w:val="000000"/>
                <w:sz w:val="22"/>
                <w:szCs w:val="22"/>
                <w:lang w:val="en-US"/>
              </w:rPr>
              <w:t xml:space="preserve"> </w:t>
            </w:r>
            <w:r w:rsidRPr="009251D6">
              <w:rPr>
                <w:rFonts w:ascii="Arial" w:hAnsi="Arial" w:cs="Arial"/>
                <w:color w:val="000000"/>
                <w:sz w:val="22"/>
                <w:szCs w:val="22"/>
                <w:lang w:val="en-US"/>
              </w:rPr>
              <w:t>mobile</w:t>
            </w:r>
          </w:p>
          <w:p w:rsidR="00413A48" w:rsidRPr="009251D6" w:rsidRDefault="00413A48" w:rsidP="00413A48">
            <w:pPr>
              <w:pStyle w:val="TableTextS5"/>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413A48" w:rsidRPr="009251D6" w:rsidRDefault="00413A48" w:rsidP="00413A48">
            <w:pPr>
              <w:pStyle w:val="TableTextS5"/>
              <w:tabs>
                <w:tab w:val="clear" w:pos="170"/>
                <w:tab w:val="clear" w:pos="567"/>
                <w:tab w:val="left" w:pos="-142"/>
                <w:tab w:val="left" w:pos="0"/>
              </w:tabs>
              <w:spacing w:line="220" w:lineRule="exact"/>
              <w:rPr>
                <w:rFonts w:ascii="Arial" w:hAnsi="Arial" w:cs="Arial"/>
                <w:color w:val="000000"/>
                <w:sz w:val="22"/>
                <w:szCs w:val="22"/>
                <w:lang w:val="en-US"/>
              </w:rPr>
            </w:pPr>
            <w:r>
              <w:rPr>
                <w:rFonts w:ascii="Arial" w:hAnsi="Arial" w:cs="Arial"/>
                <w:color w:val="000000"/>
                <w:sz w:val="22"/>
                <w:szCs w:val="22"/>
                <w:lang w:val="en-US"/>
              </w:rPr>
              <w:t>BROADCASTING-SATELLITE</w:t>
            </w:r>
            <w:r w:rsidRPr="009251D6">
              <w:rPr>
                <w:rFonts w:ascii="Arial" w:hAnsi="Arial" w:cs="Arial"/>
                <w:color w:val="000000"/>
                <w:sz w:val="22"/>
                <w:szCs w:val="22"/>
                <w:lang w:val="en-US"/>
              </w:rPr>
              <w:t xml:space="preserve"> </w:t>
            </w:r>
            <w:r w:rsidRPr="009251D6">
              <w:rPr>
                <w:rStyle w:val="Artref"/>
                <w:rFonts w:ascii="Arial" w:hAnsi="Arial" w:cs="Arial"/>
                <w:color w:val="000000"/>
                <w:sz w:val="22"/>
                <w:szCs w:val="22"/>
                <w:lang w:val="en-US"/>
              </w:rPr>
              <w:t>5.208B  5.345</w:t>
            </w:r>
            <w:r>
              <w:rPr>
                <w:rStyle w:val="Artref"/>
                <w:rFonts w:ascii="Arial" w:hAnsi="Arial" w:cs="Arial"/>
                <w:color w:val="000000"/>
                <w:sz w:val="22"/>
                <w:szCs w:val="22"/>
                <w:lang w:val="en-US"/>
              </w:rPr>
              <w:br/>
            </w:r>
          </w:p>
          <w:p w:rsidR="00413A48" w:rsidRDefault="00413A48" w:rsidP="00413A48">
            <w:pPr>
              <w:spacing w:line="288" w:lineRule="auto"/>
            </w:pPr>
            <w:r w:rsidRPr="009251D6">
              <w:rPr>
                <w:rStyle w:val="Artref"/>
                <w:rFonts w:cs="Arial"/>
                <w:color w:val="000000"/>
                <w:sz w:val="22"/>
                <w:szCs w:val="22"/>
              </w:rPr>
              <w:t>5.341</w:t>
            </w:r>
            <w:r w:rsidRPr="009251D6">
              <w:rPr>
                <w:rFonts w:cs="Arial"/>
                <w:sz w:val="22"/>
                <w:szCs w:val="22"/>
              </w:rPr>
              <w:t xml:space="preserve">  </w:t>
            </w:r>
            <w:r w:rsidRPr="009251D6">
              <w:rPr>
                <w:rStyle w:val="Artref"/>
                <w:rFonts w:cs="Arial"/>
                <w:color w:val="000000"/>
                <w:sz w:val="22"/>
                <w:szCs w:val="22"/>
              </w:rPr>
              <w:t>5.342</w:t>
            </w:r>
          </w:p>
        </w:tc>
        <w:tc>
          <w:tcPr>
            <w:tcW w:w="5245" w:type="dxa"/>
            <w:gridSpan w:val="2"/>
            <w:vAlign w:val="center"/>
          </w:tcPr>
          <w:p w:rsidR="00413A48" w:rsidRPr="009251D6" w:rsidRDefault="00413A48" w:rsidP="00413A48">
            <w:pPr>
              <w:pStyle w:val="TableTextS5"/>
              <w:spacing w:line="220" w:lineRule="exact"/>
              <w:rPr>
                <w:rFonts w:ascii="Arial" w:hAnsi="Arial" w:cs="Arial"/>
                <w:color w:val="000000"/>
                <w:sz w:val="22"/>
                <w:szCs w:val="22"/>
                <w:lang w:val="en-US"/>
              </w:rPr>
            </w:pPr>
            <w:r w:rsidRPr="009251D6">
              <w:rPr>
                <w:rStyle w:val="Tablefreq"/>
                <w:color w:val="000000"/>
                <w:sz w:val="22"/>
                <w:szCs w:val="22"/>
                <w:lang w:val="en-US"/>
              </w:rPr>
              <w:t>1 452-1 492</w:t>
            </w:r>
          </w:p>
          <w:p w:rsidR="00413A48" w:rsidRPr="009251D6" w:rsidRDefault="00413A48" w:rsidP="00413A48">
            <w:pPr>
              <w:pStyle w:val="TableTextS5"/>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FIXED</w:t>
            </w:r>
          </w:p>
          <w:p w:rsidR="00413A48" w:rsidRPr="009251D6" w:rsidRDefault="00413A48" w:rsidP="00413A48">
            <w:pPr>
              <w:pStyle w:val="TableTextS5"/>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MOBILE  </w:t>
            </w:r>
            <w:r w:rsidRPr="009251D6">
              <w:rPr>
                <w:rStyle w:val="Artref"/>
                <w:rFonts w:ascii="Arial" w:hAnsi="Arial" w:cs="Arial"/>
                <w:color w:val="000000"/>
                <w:sz w:val="22"/>
                <w:szCs w:val="22"/>
                <w:lang w:val="en-US"/>
              </w:rPr>
              <w:t>5.343</w:t>
            </w:r>
          </w:p>
          <w:p w:rsidR="00413A48" w:rsidRPr="009251D6" w:rsidRDefault="00413A48" w:rsidP="00413A48">
            <w:pPr>
              <w:pStyle w:val="TableTextS5"/>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413A48" w:rsidRPr="009251D6" w:rsidRDefault="00413A48" w:rsidP="00413A48">
            <w:pPr>
              <w:pStyle w:val="TableTextS5"/>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5.208B  </w:t>
            </w:r>
            <w:r w:rsidRPr="009251D6">
              <w:rPr>
                <w:rStyle w:val="Artref"/>
                <w:rFonts w:ascii="Arial" w:hAnsi="Arial" w:cs="Arial"/>
                <w:color w:val="000000"/>
                <w:sz w:val="22"/>
                <w:szCs w:val="22"/>
                <w:lang w:val="en-US"/>
              </w:rPr>
              <w:t>5.345</w:t>
            </w:r>
          </w:p>
          <w:p w:rsidR="00413A48" w:rsidRDefault="00413A48" w:rsidP="00413A48">
            <w:pPr>
              <w:spacing w:line="288" w:lineRule="auto"/>
            </w:pPr>
            <w:r w:rsidRPr="009251D6">
              <w:rPr>
                <w:rStyle w:val="Artref"/>
                <w:rFonts w:cs="Arial"/>
                <w:color w:val="000000"/>
                <w:sz w:val="22"/>
                <w:szCs w:val="22"/>
              </w:rPr>
              <w:br/>
              <w:t>5.341</w:t>
            </w:r>
            <w:r w:rsidRPr="009251D6">
              <w:rPr>
                <w:rFonts w:cs="Arial"/>
                <w:color w:val="000000"/>
                <w:sz w:val="22"/>
                <w:szCs w:val="22"/>
              </w:rPr>
              <w:t xml:space="preserve">  </w:t>
            </w:r>
            <w:r w:rsidRPr="009251D6">
              <w:rPr>
                <w:rStyle w:val="Artref"/>
                <w:rFonts w:cs="Arial"/>
                <w:color w:val="000000"/>
                <w:sz w:val="22"/>
                <w:szCs w:val="22"/>
              </w:rPr>
              <w:t>5.344</w:t>
            </w:r>
          </w:p>
        </w:tc>
      </w:tr>
    </w:tbl>
    <w:p w:rsidR="008A54FC" w:rsidRDefault="008A54FC" w:rsidP="008A54FC"/>
    <w:p w:rsidR="00413A48" w:rsidRPr="00413A48" w:rsidRDefault="00413A48" w:rsidP="00413A48">
      <w:pPr>
        <w:pStyle w:val="Note"/>
        <w:tabs>
          <w:tab w:val="left" w:pos="-360"/>
        </w:tabs>
        <w:rPr>
          <w:rFonts w:ascii="Arial" w:hAnsi="Arial" w:cs="Arial"/>
          <w:color w:val="000000"/>
          <w:lang w:val="nl-NL"/>
        </w:rPr>
      </w:pPr>
      <w:r w:rsidRPr="00413A48">
        <w:rPr>
          <w:rStyle w:val="Artdef"/>
          <w:rFonts w:ascii="Arial" w:hAnsi="Arial" w:cs="Arial"/>
          <w:color w:val="000000"/>
          <w:lang w:val="nl-NL"/>
        </w:rPr>
        <w:t>5.208B</w:t>
      </w:r>
      <w:r w:rsidRPr="00413A48">
        <w:rPr>
          <w:rStyle w:val="Appelnotedebasdep"/>
          <w:rFonts w:ascii="Arial" w:hAnsi="Arial" w:cs="Arial"/>
          <w:b/>
          <w:bCs/>
          <w:color w:val="000000"/>
          <w:lang w:val="nl-NL"/>
        </w:rPr>
        <w:footnoteReference w:customMarkFollows="1" w:id="24"/>
        <w:t>*</w:t>
      </w:r>
      <w:r w:rsidRPr="00413A48">
        <w:rPr>
          <w:rFonts w:ascii="Arial" w:hAnsi="Arial" w:cs="Arial"/>
          <w:color w:val="000000"/>
          <w:lang w:val="nl-NL"/>
        </w:rPr>
        <w:tab/>
        <w:t>In the bands:</w:t>
      </w:r>
    </w:p>
    <w:p w:rsidR="00413A48" w:rsidRPr="00413A48" w:rsidRDefault="00413A48" w:rsidP="00413A48">
      <w:pPr>
        <w:pStyle w:val="Note"/>
        <w:tabs>
          <w:tab w:val="clear" w:pos="284"/>
          <w:tab w:val="left" w:pos="-360"/>
        </w:tabs>
        <w:jc w:val="left"/>
        <w:rPr>
          <w:rFonts w:ascii="Arial" w:hAnsi="Arial" w:cs="Arial"/>
          <w:color w:val="000000"/>
          <w:lang w:val="nl-NL"/>
        </w:rPr>
      </w:pPr>
      <w:r w:rsidRPr="00413A48">
        <w:rPr>
          <w:rFonts w:ascii="Arial" w:hAnsi="Arial" w:cs="Arial"/>
          <w:color w:val="000000"/>
          <w:lang w:val="nl-NL"/>
        </w:rPr>
        <w:tab/>
        <w:t>137-138 MHz,</w:t>
      </w:r>
      <w:r w:rsidRPr="00413A48">
        <w:rPr>
          <w:rFonts w:ascii="Arial" w:hAnsi="Arial" w:cs="Arial"/>
          <w:color w:val="000000"/>
          <w:lang w:val="nl-NL"/>
        </w:rPr>
        <w:br/>
      </w:r>
      <w:r w:rsidRPr="00413A48">
        <w:rPr>
          <w:rFonts w:ascii="Arial" w:hAnsi="Arial" w:cs="Arial"/>
          <w:color w:val="000000"/>
          <w:lang w:val="nl-NL"/>
        </w:rPr>
        <w:tab/>
        <w:t>387-390 MHz,</w:t>
      </w:r>
      <w:r w:rsidRPr="00413A48">
        <w:rPr>
          <w:rFonts w:ascii="Arial" w:hAnsi="Arial" w:cs="Arial"/>
          <w:color w:val="000000"/>
          <w:lang w:val="nl-NL"/>
        </w:rPr>
        <w:br/>
      </w:r>
      <w:r w:rsidRPr="00413A48">
        <w:rPr>
          <w:rFonts w:ascii="Arial" w:hAnsi="Arial" w:cs="Arial"/>
          <w:color w:val="000000"/>
          <w:lang w:val="nl-NL"/>
        </w:rPr>
        <w:tab/>
        <w:t>400.15-401 MHz,</w:t>
      </w:r>
      <w:r w:rsidRPr="00413A48">
        <w:rPr>
          <w:rFonts w:ascii="Arial" w:hAnsi="Arial" w:cs="Arial"/>
          <w:color w:val="000000"/>
          <w:lang w:val="nl-NL"/>
        </w:rPr>
        <w:br/>
      </w:r>
      <w:r w:rsidRPr="00413A48">
        <w:rPr>
          <w:rFonts w:ascii="Arial" w:hAnsi="Arial" w:cs="Arial"/>
          <w:color w:val="000000"/>
          <w:lang w:val="nl-NL"/>
        </w:rPr>
        <w:tab/>
        <w:t>1 452-1 492 MHz,</w:t>
      </w:r>
      <w:r w:rsidRPr="00413A48">
        <w:rPr>
          <w:rFonts w:ascii="Arial" w:hAnsi="Arial" w:cs="Arial"/>
          <w:color w:val="000000"/>
          <w:lang w:val="nl-NL"/>
        </w:rPr>
        <w:br/>
      </w:r>
      <w:r w:rsidRPr="00413A48">
        <w:rPr>
          <w:rFonts w:ascii="Arial" w:hAnsi="Arial" w:cs="Arial"/>
          <w:color w:val="000000"/>
          <w:lang w:val="nl-NL"/>
        </w:rPr>
        <w:tab/>
        <w:t>1 525-1 610 MHz,</w:t>
      </w:r>
      <w:r w:rsidRPr="00413A48">
        <w:rPr>
          <w:rFonts w:ascii="Arial" w:hAnsi="Arial" w:cs="Arial"/>
          <w:color w:val="000000"/>
          <w:lang w:val="nl-NL"/>
        </w:rPr>
        <w:br/>
      </w:r>
      <w:r w:rsidRPr="00413A48">
        <w:rPr>
          <w:rFonts w:ascii="Arial" w:hAnsi="Arial" w:cs="Arial"/>
          <w:color w:val="000000"/>
          <w:lang w:val="nl-NL"/>
        </w:rPr>
        <w:tab/>
        <w:t>1 613.8-1 626.5 MHz,</w:t>
      </w:r>
      <w:r w:rsidRPr="00413A48">
        <w:rPr>
          <w:rFonts w:ascii="Arial" w:hAnsi="Arial" w:cs="Arial"/>
          <w:color w:val="000000"/>
          <w:lang w:val="nl-NL"/>
        </w:rPr>
        <w:br/>
      </w:r>
      <w:r w:rsidRPr="00413A48">
        <w:rPr>
          <w:rFonts w:ascii="Arial" w:hAnsi="Arial" w:cs="Arial"/>
          <w:color w:val="000000"/>
          <w:lang w:val="nl-NL"/>
        </w:rPr>
        <w:tab/>
        <w:t>2 655-2 690 MHz,</w:t>
      </w:r>
      <w:r w:rsidRPr="00413A48">
        <w:rPr>
          <w:rFonts w:ascii="Arial" w:hAnsi="Arial" w:cs="Arial"/>
          <w:color w:val="000000"/>
          <w:lang w:val="nl-NL"/>
        </w:rPr>
        <w:br/>
      </w:r>
      <w:r w:rsidRPr="00413A48">
        <w:rPr>
          <w:rFonts w:ascii="Arial" w:hAnsi="Arial" w:cs="Arial"/>
          <w:color w:val="000000"/>
          <w:lang w:val="nl-NL"/>
        </w:rPr>
        <w:tab/>
        <w:t>21.4-22 GHz,</w:t>
      </w:r>
    </w:p>
    <w:p w:rsidR="00413A48" w:rsidRPr="00413A48" w:rsidRDefault="00413A48" w:rsidP="00413A48">
      <w:pPr>
        <w:pStyle w:val="ECCParagraph"/>
        <w:rPr>
          <w:szCs w:val="20"/>
        </w:rPr>
      </w:pPr>
      <w:r w:rsidRPr="00413A48">
        <w:rPr>
          <w:szCs w:val="20"/>
        </w:rPr>
        <w:t xml:space="preserve">Resolution </w:t>
      </w:r>
      <w:r w:rsidRPr="00413A48">
        <w:rPr>
          <w:b/>
          <w:bCs/>
          <w:szCs w:val="20"/>
        </w:rPr>
        <w:t>739</w:t>
      </w:r>
      <w:r w:rsidRPr="00413A48">
        <w:rPr>
          <w:szCs w:val="20"/>
        </w:rPr>
        <w:t xml:space="preserve"> </w:t>
      </w:r>
      <w:r w:rsidRPr="00413A48">
        <w:rPr>
          <w:b/>
          <w:bCs/>
          <w:szCs w:val="20"/>
        </w:rPr>
        <w:t>(Rev.WRC-07)</w:t>
      </w:r>
      <w:r w:rsidRPr="00413A48">
        <w:rPr>
          <w:szCs w:val="20"/>
        </w:rPr>
        <w:t xml:space="preserve"> applies.     (WRC-07)</w:t>
      </w:r>
    </w:p>
    <w:p w:rsidR="00413A48" w:rsidRPr="009251D6" w:rsidRDefault="00413A48" w:rsidP="00413A48">
      <w:pPr>
        <w:pStyle w:val="ECCParagraph"/>
        <w:rPr>
          <w:color w:val="000000"/>
          <w:lang w:val="en-AU"/>
        </w:rPr>
      </w:pPr>
      <w:r w:rsidRPr="009251D6">
        <w:rPr>
          <w:rStyle w:val="Artdef"/>
          <w:rFonts w:cs="Arial"/>
          <w:color w:val="000000"/>
          <w:sz w:val="22"/>
          <w:szCs w:val="22"/>
          <w:lang w:val="en-AU"/>
        </w:rPr>
        <w:t>5.341</w:t>
      </w:r>
      <w:r w:rsidRPr="009251D6">
        <w:rPr>
          <w:rStyle w:val="Artdef"/>
          <w:rFonts w:cs="Arial"/>
          <w:color w:val="000000"/>
          <w:sz w:val="22"/>
          <w:szCs w:val="22"/>
          <w:lang w:val="en-AU"/>
        </w:rPr>
        <w:tab/>
      </w:r>
      <w:r w:rsidRPr="009251D6">
        <w:rPr>
          <w:color w:val="000000"/>
          <w:lang w:val="en-AU"/>
        </w:rPr>
        <w:t>In the bands 1 400-1 727 MHz, 101-120 GHz and 197-220 GHz, passive research is being conducted by some countries in a programme for the search for intentional emissions of extraterrestrial origin.</w:t>
      </w:r>
    </w:p>
    <w:p w:rsidR="00413A48" w:rsidRPr="009251D6" w:rsidRDefault="00413A48" w:rsidP="00413A48">
      <w:pPr>
        <w:pStyle w:val="ECCParagraph"/>
        <w:rPr>
          <w:color w:val="000000"/>
          <w:lang w:val="en-AU"/>
        </w:rPr>
      </w:pPr>
      <w:r w:rsidRPr="009251D6">
        <w:rPr>
          <w:rStyle w:val="Artdef"/>
          <w:rFonts w:cs="Arial"/>
          <w:color w:val="000000"/>
          <w:sz w:val="22"/>
          <w:szCs w:val="22"/>
          <w:lang w:val="en-AU"/>
        </w:rPr>
        <w:t>5.342</w:t>
      </w:r>
      <w:r w:rsidRPr="009251D6">
        <w:rPr>
          <w:rStyle w:val="Artdef"/>
          <w:rFonts w:cs="Arial"/>
          <w:color w:val="000000"/>
          <w:sz w:val="22"/>
          <w:szCs w:val="22"/>
          <w:lang w:val="en-AU"/>
        </w:rPr>
        <w:tab/>
      </w:r>
      <w:r w:rsidRPr="009251D6">
        <w:rPr>
          <w:i/>
          <w:iCs/>
          <w:color w:val="000000"/>
          <w:lang w:val="en-AU"/>
        </w:rPr>
        <w:t>Additional allocation:  </w:t>
      </w:r>
      <w:r w:rsidRPr="009251D6">
        <w:rPr>
          <w:color w:val="000000"/>
          <w:lang w:val="en-AU"/>
        </w:rPr>
        <w:t xml:space="preserve">in Armenia, Azerbaijan, Belarus, Bulgaria, the Russian Federation, Uzbekistan, Kyrgystan and Ukraine, the band 1 429-1 535 MHz is also allocated to the aeronautical mobile service on a primary basis exclusively for the purposes of aeronautical telemetry within the national territory. As of 1 April 2007, the use of the band 1 452-1 492 MHz is subject to agreement between the administrations concerned. </w:t>
      </w:r>
      <w:r w:rsidRPr="009251D6">
        <w:rPr>
          <w:color w:val="000000"/>
        </w:rPr>
        <w:t>(WRC</w:t>
      </w:r>
      <w:r w:rsidRPr="009251D6">
        <w:rPr>
          <w:color w:val="000000"/>
        </w:rPr>
        <w:noBreakHyphen/>
        <w:t>2000)</w:t>
      </w:r>
    </w:p>
    <w:p w:rsidR="00413A48" w:rsidRPr="009251D6" w:rsidRDefault="00413A48" w:rsidP="00413A48">
      <w:pPr>
        <w:pStyle w:val="ECCParagraph"/>
        <w:rPr>
          <w:color w:val="000000"/>
          <w:lang w:val="en-AU"/>
        </w:rPr>
      </w:pPr>
      <w:r w:rsidRPr="009251D6">
        <w:rPr>
          <w:rStyle w:val="Artdef"/>
          <w:rFonts w:cs="Arial"/>
          <w:color w:val="000000"/>
          <w:sz w:val="22"/>
          <w:szCs w:val="22"/>
          <w:lang w:val="en-AU"/>
        </w:rPr>
        <w:t>5.343</w:t>
      </w:r>
      <w:r w:rsidRPr="009251D6">
        <w:rPr>
          <w:rStyle w:val="Artdef"/>
          <w:rFonts w:cs="Arial"/>
          <w:color w:val="000000"/>
          <w:sz w:val="22"/>
          <w:szCs w:val="22"/>
          <w:lang w:val="en-AU"/>
        </w:rPr>
        <w:tab/>
      </w:r>
      <w:r w:rsidRPr="009251D6">
        <w:rPr>
          <w:color w:val="000000"/>
          <w:lang w:val="en-AU"/>
        </w:rPr>
        <w:t>In Region 2, the use of the band 1 435-1 535 MHz by the aeronautical mobile service for telemetry has priority over other uses by the mobile service.</w:t>
      </w:r>
    </w:p>
    <w:p w:rsidR="00413A48" w:rsidRPr="009251D6" w:rsidRDefault="00413A48" w:rsidP="00413A48">
      <w:pPr>
        <w:pStyle w:val="ECCParagraph"/>
        <w:rPr>
          <w:color w:val="000000"/>
          <w:lang w:val="en-AU"/>
        </w:rPr>
      </w:pPr>
      <w:r w:rsidRPr="009251D6">
        <w:rPr>
          <w:rStyle w:val="Artdef"/>
          <w:rFonts w:cs="Arial"/>
          <w:color w:val="000000"/>
          <w:sz w:val="22"/>
          <w:szCs w:val="22"/>
          <w:lang w:val="en-AU"/>
        </w:rPr>
        <w:t>5.344</w:t>
      </w:r>
      <w:r w:rsidRPr="009251D6">
        <w:rPr>
          <w:rStyle w:val="Artdef"/>
          <w:rFonts w:cs="Arial"/>
          <w:color w:val="000000"/>
          <w:sz w:val="22"/>
          <w:szCs w:val="22"/>
          <w:lang w:val="en-AU"/>
        </w:rPr>
        <w:tab/>
      </w:r>
      <w:r w:rsidRPr="009251D6">
        <w:rPr>
          <w:i/>
          <w:iCs/>
          <w:color w:val="000000"/>
          <w:lang w:val="en-AU"/>
        </w:rPr>
        <w:t>Alternative allocation:  </w:t>
      </w:r>
      <w:r w:rsidRPr="009251D6">
        <w:rPr>
          <w:color w:val="000000"/>
          <w:lang w:val="en-AU"/>
        </w:rPr>
        <w:t>in the United States, the band 1 452-1 525 MHz is allocated to the fixed and mobile services on a primary basis (see also No. </w:t>
      </w:r>
      <w:r w:rsidRPr="009251D6">
        <w:rPr>
          <w:rStyle w:val="Artref"/>
          <w:rFonts w:cs="Arial"/>
          <w:color w:val="000000"/>
          <w:sz w:val="22"/>
          <w:szCs w:val="22"/>
          <w:lang w:val="en-AU"/>
        </w:rPr>
        <w:t>5.343</w:t>
      </w:r>
      <w:r w:rsidRPr="009251D6">
        <w:rPr>
          <w:color w:val="000000"/>
          <w:lang w:val="en-AU"/>
        </w:rPr>
        <w:t>).</w:t>
      </w:r>
    </w:p>
    <w:p w:rsidR="00413A48" w:rsidRDefault="00413A48" w:rsidP="00413A48">
      <w:pPr>
        <w:pStyle w:val="ECCParagraph"/>
        <w:rPr>
          <w:color w:val="000000"/>
          <w:lang w:val="en-AU"/>
        </w:rPr>
      </w:pPr>
      <w:r w:rsidRPr="009251D6">
        <w:rPr>
          <w:rStyle w:val="Artdef"/>
          <w:rFonts w:cs="Arial"/>
          <w:color w:val="000000"/>
          <w:sz w:val="22"/>
          <w:szCs w:val="22"/>
          <w:lang w:val="en-AU"/>
        </w:rPr>
        <w:t>5.345</w:t>
      </w:r>
      <w:r w:rsidRPr="009251D6">
        <w:rPr>
          <w:rStyle w:val="Artdef"/>
          <w:rFonts w:cs="Arial"/>
          <w:color w:val="000000"/>
          <w:sz w:val="22"/>
          <w:szCs w:val="22"/>
          <w:lang w:val="en-AU"/>
        </w:rPr>
        <w:tab/>
      </w:r>
      <w:r w:rsidRPr="009251D6">
        <w:rPr>
          <w:color w:val="000000"/>
          <w:lang w:val="en-AU"/>
        </w:rPr>
        <w:t>Use of the band 1 452-1 492 MHz by the broadcasting-satellite service, and by the broadcasting service, is limited to digital audio broadcasting and is subject to the provisions of Resolution </w:t>
      </w:r>
      <w:r w:rsidRPr="009251D6">
        <w:rPr>
          <w:rStyle w:val="Resref"/>
          <w:rFonts w:cs="Arial"/>
          <w:b/>
          <w:bCs/>
          <w:color w:val="000000"/>
          <w:sz w:val="22"/>
          <w:szCs w:val="22"/>
          <w:lang w:val="en-AU"/>
        </w:rPr>
        <w:t>528</w:t>
      </w:r>
      <w:r w:rsidRPr="009251D6">
        <w:rPr>
          <w:b/>
          <w:bCs/>
          <w:color w:val="000000"/>
          <w:lang w:val="en-AU"/>
        </w:rPr>
        <w:t xml:space="preserve"> (WARC</w:t>
      </w:r>
      <w:r w:rsidRPr="009251D6">
        <w:rPr>
          <w:b/>
          <w:bCs/>
          <w:color w:val="000000"/>
          <w:lang w:val="en-AU"/>
        </w:rPr>
        <w:noBreakHyphen/>
        <w:t>92)</w:t>
      </w:r>
      <w:r w:rsidRPr="00936A41">
        <w:rPr>
          <w:rStyle w:val="Titre9Car"/>
          <w:b/>
          <w:bCs/>
          <w:color w:val="000000"/>
          <w:lang w:val="en-AU"/>
        </w:rPr>
        <w:t xml:space="preserve"> </w:t>
      </w:r>
      <w:r w:rsidRPr="003045C6">
        <w:rPr>
          <w:rStyle w:val="Appelnotedebasdep"/>
          <w:b/>
          <w:bCs/>
          <w:color w:val="000000"/>
          <w:lang w:val="en-AU"/>
        </w:rPr>
        <w:footnoteReference w:customMarkFollows="1" w:id="25"/>
        <w:t>*</w:t>
      </w:r>
      <w:r w:rsidRPr="003045C6">
        <w:rPr>
          <w:color w:val="000000"/>
          <w:lang w:val="en-AU"/>
        </w:rPr>
        <w:t>.</w:t>
      </w:r>
    </w:p>
    <w:p w:rsidR="00413A48" w:rsidRDefault="00413A48" w:rsidP="00413A48">
      <w:pPr>
        <w:pStyle w:val="ECCParagraph"/>
        <w:jc w:val="left"/>
        <w:rPr>
          <w:color w:val="000000"/>
          <w:lang w:val="en-AU"/>
        </w:rPr>
      </w:pPr>
    </w:p>
    <w:p w:rsidR="00413A48" w:rsidRDefault="00413A48" w:rsidP="00413A48">
      <w:pPr>
        <w:pStyle w:val="ECCParagraph"/>
        <w:jc w:val="left"/>
        <w:rPr>
          <w:color w:val="000000"/>
          <w:lang w:val="en-AU"/>
        </w:rPr>
        <w:sectPr w:rsidR="00413A48" w:rsidSect="00413A48">
          <w:footerReference w:type="default" r:id="rId29"/>
          <w:pgSz w:w="11906" w:h="16838"/>
          <w:pgMar w:top="1418" w:right="1418" w:bottom="1418" w:left="1418" w:header="709" w:footer="709" w:gutter="0"/>
          <w:cols w:space="708"/>
          <w:docGrid w:linePitch="360"/>
        </w:sectPr>
      </w:pPr>
    </w:p>
    <w:p w:rsidR="00026A63" w:rsidRPr="00413A48" w:rsidRDefault="00413A48" w:rsidP="00413A48">
      <w:pPr>
        <w:pStyle w:val="ECCAnnexheading1"/>
      </w:pPr>
      <w:bookmarkStart w:id="86" w:name="_Toc322126846"/>
      <w:r w:rsidRPr="001807EA">
        <w:rPr>
          <w:lang w:val="en-US"/>
        </w:rPr>
        <w:lastRenderedPageBreak/>
        <w:t>Flexibility in</w:t>
      </w:r>
      <w:r>
        <w:rPr>
          <w:lang w:val="en-US"/>
        </w:rPr>
        <w:t xml:space="preserve"> </w:t>
      </w:r>
      <w:r w:rsidRPr="00642F80">
        <w:t>MA02revCO07 Special Arrangement (1452 - 1479.5 MH</w:t>
      </w:r>
      <w:r w:rsidRPr="00642F80">
        <w:rPr>
          <w:caps w:val="0"/>
        </w:rPr>
        <w:t>z</w:t>
      </w:r>
      <w:r>
        <w:t>)</w:t>
      </w:r>
      <w:bookmarkEnd w:id="86"/>
    </w:p>
    <w:p w:rsidR="00413A48" w:rsidRDefault="00413A48" w:rsidP="00413A48">
      <w:pPr>
        <w:pStyle w:val="ECCAnnexheading2"/>
      </w:pPr>
      <w:r>
        <w:t>Introduction</w:t>
      </w:r>
    </w:p>
    <w:p w:rsidR="00413A48" w:rsidRDefault="00413A48" w:rsidP="00413A48">
      <w:pPr>
        <w:pStyle w:val="ECCParagraph"/>
      </w:pPr>
      <w:r w:rsidRPr="00187469">
        <w:t xml:space="preserve">MA02 Special Arrangement was reviewed in 2007 in order to allow for more flexibility and to allow the deployment of </w:t>
      </w:r>
      <w:r w:rsidRPr="00187469">
        <w:rPr>
          <w:lang w:val="en-US"/>
        </w:rPr>
        <w:t xml:space="preserve">terrestrial mobile multimedia in the framework of </w:t>
      </w:r>
      <w:r w:rsidRPr="00187469">
        <w:t>MA02revCO07.</w:t>
      </w:r>
    </w:p>
    <w:p w:rsidR="00413A48" w:rsidRPr="00FE7EEF" w:rsidRDefault="00413A48" w:rsidP="00413A48">
      <w:pPr>
        <w:pStyle w:val="ECCParagraph"/>
      </w:pPr>
      <w:r>
        <w:t>Flexibility built-in in MA</w:t>
      </w:r>
      <w:r w:rsidRPr="00FE7EEF">
        <w:t>02revCO07 enables the national administrations to take the approach that best suits their national requirements. The range of possibilities includes</w:t>
      </w:r>
      <w:r>
        <w:t xml:space="preserve"> the introduction of</w:t>
      </w:r>
      <w:r w:rsidRPr="00FE7EEF">
        <w:t>:</w:t>
      </w:r>
    </w:p>
    <w:p w:rsidR="00413A48" w:rsidRPr="00FE7EEF" w:rsidRDefault="00413A48" w:rsidP="000F6780">
      <w:pPr>
        <w:pStyle w:val="ECCParagraph"/>
        <w:numPr>
          <w:ilvl w:val="0"/>
          <w:numId w:val="10"/>
        </w:numPr>
      </w:pPr>
      <w:r w:rsidRPr="00FE7EEF">
        <w:t>T-DAB or enhanced radio services in accordance with the Ma02revCO07 Plan</w:t>
      </w:r>
      <w:r>
        <w:t>,</w:t>
      </w:r>
    </w:p>
    <w:p w:rsidR="00413A48" w:rsidRPr="00FE7EEF" w:rsidRDefault="00413A48" w:rsidP="000F6780">
      <w:pPr>
        <w:pStyle w:val="ECCParagraph"/>
        <w:numPr>
          <w:ilvl w:val="0"/>
          <w:numId w:val="10"/>
        </w:numPr>
      </w:pPr>
      <w:r w:rsidRPr="00FE7EEF">
        <w:t>other terrestrial mobile multimedia systems that are compatible with the Plan by application of the envelope concept</w:t>
      </w:r>
      <w:r>
        <w:t>,</w:t>
      </w:r>
    </w:p>
    <w:p w:rsidR="00413A48" w:rsidRPr="00FE7EEF" w:rsidRDefault="00413A48" w:rsidP="000F6780">
      <w:pPr>
        <w:pStyle w:val="ECCParagraph"/>
        <w:numPr>
          <w:ilvl w:val="0"/>
          <w:numId w:val="10"/>
        </w:numPr>
      </w:pPr>
      <w:r w:rsidRPr="00FE7EEF">
        <w:t>terrestrial mobile multimedia systems that require larger bandwidth than 1.7 MHz</w:t>
      </w:r>
      <w:r>
        <w:t xml:space="preserve"> (e.g. 5 MHz)</w:t>
      </w:r>
      <w:r w:rsidRPr="00FE7EEF">
        <w:t xml:space="preserve"> by aggregating T-DAB frequency blocks</w:t>
      </w:r>
      <w:r>
        <w:t>,</w:t>
      </w:r>
    </w:p>
    <w:p w:rsidR="00413A48" w:rsidRDefault="00413A48" w:rsidP="000F6780">
      <w:pPr>
        <w:pStyle w:val="ECCParagraph"/>
        <w:numPr>
          <w:ilvl w:val="0"/>
          <w:numId w:val="10"/>
        </w:numPr>
      </w:pPr>
      <w:r w:rsidRPr="00FE7EEF">
        <w:t>any combination of the above</w:t>
      </w:r>
      <w:r>
        <w:t>.</w:t>
      </w:r>
    </w:p>
    <w:p w:rsidR="00413A48" w:rsidRDefault="00413A48" w:rsidP="00413A48">
      <w:pPr>
        <w:pStyle w:val="ECCAnnexheading2"/>
        <w:rPr>
          <w:bCs/>
        </w:rPr>
      </w:pPr>
      <w:r w:rsidRPr="00AF104E">
        <w:rPr>
          <w:bCs/>
        </w:rPr>
        <w:t>Channel Raster and Bandwidth</w:t>
      </w:r>
    </w:p>
    <w:p w:rsidR="00413A48" w:rsidRDefault="00413A48" w:rsidP="00413A48">
      <w:pPr>
        <w:pStyle w:val="ECCParagraph"/>
      </w:pPr>
      <w:r w:rsidRPr="000A424B">
        <w:t xml:space="preserve">The associated frequency plan to the MA02revCO07 Arrangement </w:t>
      </w:r>
      <w:r>
        <w:t>contains</w:t>
      </w:r>
      <w:r w:rsidRPr="000A424B">
        <w:t xml:space="preserve"> 16 x 1.7 MHz T-DAB blocks.</w:t>
      </w:r>
      <w:r>
        <w:t xml:space="preserve"> The following table provides the list of T-DAB blocks included in the</w:t>
      </w:r>
      <w:r w:rsidRPr="00AF104E">
        <w:t xml:space="preserve"> </w:t>
      </w:r>
      <w:r>
        <w:t>Plan.</w:t>
      </w:r>
    </w:p>
    <w:p w:rsidR="00DC4FFC" w:rsidRDefault="00DC4FFC" w:rsidP="007E42E6">
      <w:pPr>
        <w:pStyle w:val="ECCTabletitle"/>
      </w:pPr>
      <w:r>
        <w:rPr>
          <w:lang w:val="en-US"/>
        </w:rPr>
        <w:t xml:space="preserve">List of T-DAB </w:t>
      </w:r>
      <w:r w:rsidRPr="00C72D69">
        <w:rPr>
          <w:lang w:val="en-US"/>
        </w:rPr>
        <w:t xml:space="preserve">blocks in </w:t>
      </w:r>
      <w:r w:rsidRPr="00C72D69">
        <w:t>MA02revCO07 Special Arrangement</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802"/>
        <w:gridCol w:w="3543"/>
        <w:gridCol w:w="3510"/>
      </w:tblGrid>
      <w:tr w:rsidR="00413A48" w:rsidRPr="00FE1795" w:rsidTr="00413A48">
        <w:trPr>
          <w:tblHeader/>
        </w:trPr>
        <w:tc>
          <w:tcPr>
            <w:tcW w:w="2802" w:type="dxa"/>
            <w:tcBorders>
              <w:right w:val="single" w:sz="8" w:space="0" w:color="FFFFFF"/>
            </w:tcBorders>
            <w:shd w:val="clear" w:color="auto" w:fill="D2232A"/>
            <w:vAlign w:val="center"/>
          </w:tcPr>
          <w:p w:rsidR="00413A48" w:rsidRPr="00FE1795" w:rsidRDefault="00413A48" w:rsidP="00413A48">
            <w:pPr>
              <w:spacing w:line="288" w:lineRule="auto"/>
              <w:jc w:val="center"/>
              <w:rPr>
                <w:b/>
                <w:color w:val="FFFFFF"/>
              </w:rPr>
            </w:pPr>
            <w:r>
              <w:rPr>
                <w:b/>
                <w:color w:val="FFFFFF"/>
              </w:rPr>
              <w:t>T-DAB block number</w:t>
            </w:r>
            <w:r w:rsidRPr="00FE1795">
              <w:rPr>
                <w:b/>
                <w:color w:val="FFFFFF"/>
              </w:rPr>
              <w:t xml:space="preserve"> </w:t>
            </w:r>
          </w:p>
        </w:tc>
        <w:tc>
          <w:tcPr>
            <w:tcW w:w="3543" w:type="dxa"/>
            <w:tcBorders>
              <w:left w:val="single" w:sz="8" w:space="0" w:color="FFFFFF"/>
              <w:right w:val="single" w:sz="8" w:space="0" w:color="FFFFFF"/>
            </w:tcBorders>
            <w:shd w:val="clear" w:color="auto" w:fill="D2232A"/>
            <w:vAlign w:val="center"/>
          </w:tcPr>
          <w:p w:rsidR="00413A48" w:rsidRPr="00FE1795" w:rsidRDefault="00413A48" w:rsidP="00413A48">
            <w:pPr>
              <w:spacing w:line="288" w:lineRule="auto"/>
              <w:jc w:val="center"/>
              <w:rPr>
                <w:b/>
                <w:color w:val="FFFFFF"/>
              </w:rPr>
            </w:pPr>
            <w:r>
              <w:rPr>
                <w:b/>
                <w:color w:val="FFFFFF"/>
              </w:rPr>
              <w:t>Centre frequency (MHz)</w:t>
            </w:r>
          </w:p>
        </w:tc>
        <w:tc>
          <w:tcPr>
            <w:tcW w:w="3510" w:type="dxa"/>
            <w:tcBorders>
              <w:left w:val="single" w:sz="8" w:space="0" w:color="FFFFFF"/>
            </w:tcBorders>
            <w:shd w:val="clear" w:color="auto" w:fill="D2232A"/>
            <w:vAlign w:val="center"/>
          </w:tcPr>
          <w:p w:rsidR="00413A48" w:rsidRPr="00FE1795" w:rsidRDefault="00413A48" w:rsidP="00413A48">
            <w:pPr>
              <w:spacing w:line="288" w:lineRule="auto"/>
              <w:jc w:val="center"/>
              <w:rPr>
                <w:b/>
                <w:color w:val="FFFFFF"/>
              </w:rPr>
            </w:pPr>
            <w:r>
              <w:rPr>
                <w:b/>
                <w:color w:val="FFFFFF"/>
              </w:rPr>
              <w:t>Frequency range (MHz)</w:t>
            </w:r>
          </w:p>
        </w:tc>
      </w:tr>
      <w:tr w:rsidR="00413A48" w:rsidTr="00413A48">
        <w:tc>
          <w:tcPr>
            <w:tcW w:w="2802" w:type="dxa"/>
          </w:tcPr>
          <w:p w:rsidR="00413A48" w:rsidRPr="00B055B7" w:rsidRDefault="00413A48" w:rsidP="00413A48">
            <w:pPr>
              <w:pStyle w:val="TAC"/>
              <w:rPr>
                <w:lang w:val="en-GB"/>
              </w:rPr>
            </w:pPr>
            <w:r w:rsidRPr="00B055B7">
              <w:rPr>
                <w:lang w:val="en-GB"/>
              </w:rPr>
              <w:t>LA</w:t>
            </w:r>
          </w:p>
        </w:tc>
        <w:tc>
          <w:tcPr>
            <w:tcW w:w="3543" w:type="dxa"/>
          </w:tcPr>
          <w:p w:rsidR="00413A48" w:rsidRPr="00B055B7" w:rsidRDefault="00413A48" w:rsidP="00413A48">
            <w:pPr>
              <w:pStyle w:val="TAC"/>
              <w:rPr>
                <w:lang w:val="en-GB"/>
              </w:rPr>
            </w:pPr>
            <w:r w:rsidRPr="00B055B7">
              <w:rPr>
                <w:lang w:val="en-GB"/>
              </w:rPr>
              <w:t>1452.960</w:t>
            </w:r>
          </w:p>
        </w:tc>
        <w:tc>
          <w:tcPr>
            <w:tcW w:w="3510" w:type="dxa"/>
          </w:tcPr>
          <w:p w:rsidR="00413A48" w:rsidRPr="00B055B7" w:rsidRDefault="00413A48" w:rsidP="00413A48">
            <w:pPr>
              <w:pStyle w:val="TAD"/>
              <w:tabs>
                <w:tab w:val="clear" w:pos="567"/>
              </w:tabs>
              <w:jc w:val="center"/>
              <w:rPr>
                <w:lang w:val="en-GB"/>
              </w:rPr>
            </w:pPr>
            <w:r w:rsidRPr="00B055B7">
              <w:rPr>
                <w:lang w:val="en-GB"/>
              </w:rPr>
              <w:t>1452.192 - 1453.728</w:t>
            </w:r>
          </w:p>
        </w:tc>
      </w:tr>
      <w:tr w:rsidR="00413A48" w:rsidTr="00413A48">
        <w:tc>
          <w:tcPr>
            <w:tcW w:w="2802" w:type="dxa"/>
          </w:tcPr>
          <w:p w:rsidR="00413A48" w:rsidRPr="00B055B7" w:rsidRDefault="00413A48" w:rsidP="00413A48">
            <w:pPr>
              <w:pStyle w:val="TAC"/>
              <w:rPr>
                <w:lang w:val="en-GB"/>
              </w:rPr>
            </w:pPr>
            <w:r w:rsidRPr="00B055B7">
              <w:rPr>
                <w:lang w:val="en-GB"/>
              </w:rPr>
              <w:t>LB</w:t>
            </w:r>
          </w:p>
        </w:tc>
        <w:tc>
          <w:tcPr>
            <w:tcW w:w="3543" w:type="dxa"/>
          </w:tcPr>
          <w:p w:rsidR="00413A48" w:rsidRPr="00B055B7" w:rsidRDefault="00413A48" w:rsidP="00413A48">
            <w:pPr>
              <w:pStyle w:val="TAC"/>
              <w:rPr>
                <w:lang w:val="en-GB"/>
              </w:rPr>
            </w:pPr>
            <w:r w:rsidRPr="00B055B7">
              <w:rPr>
                <w:lang w:val="en-GB"/>
              </w:rPr>
              <w:t>1454.672</w:t>
            </w:r>
          </w:p>
        </w:tc>
        <w:tc>
          <w:tcPr>
            <w:tcW w:w="3510" w:type="dxa"/>
          </w:tcPr>
          <w:p w:rsidR="00413A48" w:rsidRPr="00B055B7" w:rsidRDefault="00413A48" w:rsidP="00413A48">
            <w:pPr>
              <w:pStyle w:val="TAD"/>
              <w:tabs>
                <w:tab w:val="clear" w:pos="567"/>
              </w:tabs>
              <w:jc w:val="center"/>
              <w:rPr>
                <w:lang w:val="en-GB"/>
              </w:rPr>
            </w:pPr>
            <w:r w:rsidRPr="00B055B7">
              <w:rPr>
                <w:lang w:val="en-GB"/>
              </w:rPr>
              <w:t>1453.904 - 1455.440</w:t>
            </w:r>
          </w:p>
        </w:tc>
      </w:tr>
      <w:tr w:rsidR="00413A48" w:rsidTr="00413A48">
        <w:tc>
          <w:tcPr>
            <w:tcW w:w="2802" w:type="dxa"/>
          </w:tcPr>
          <w:p w:rsidR="00413A48" w:rsidRPr="00B055B7" w:rsidRDefault="00413A48" w:rsidP="00413A48">
            <w:pPr>
              <w:pStyle w:val="TAC"/>
              <w:rPr>
                <w:lang w:val="en-GB"/>
              </w:rPr>
            </w:pPr>
            <w:r w:rsidRPr="00B055B7">
              <w:rPr>
                <w:lang w:val="en-GB"/>
              </w:rPr>
              <w:t>LC</w:t>
            </w:r>
          </w:p>
        </w:tc>
        <w:tc>
          <w:tcPr>
            <w:tcW w:w="3543" w:type="dxa"/>
          </w:tcPr>
          <w:p w:rsidR="00413A48" w:rsidRPr="00B055B7" w:rsidRDefault="00413A48" w:rsidP="00413A48">
            <w:pPr>
              <w:pStyle w:val="TAC"/>
              <w:rPr>
                <w:lang w:val="en-GB"/>
              </w:rPr>
            </w:pPr>
            <w:r w:rsidRPr="00B055B7">
              <w:rPr>
                <w:lang w:val="en-GB"/>
              </w:rPr>
              <w:t>1456.384</w:t>
            </w:r>
          </w:p>
        </w:tc>
        <w:tc>
          <w:tcPr>
            <w:tcW w:w="3510" w:type="dxa"/>
          </w:tcPr>
          <w:p w:rsidR="00413A48" w:rsidRPr="00B055B7" w:rsidRDefault="00413A48" w:rsidP="00413A48">
            <w:pPr>
              <w:pStyle w:val="TAD"/>
              <w:tabs>
                <w:tab w:val="clear" w:pos="567"/>
              </w:tabs>
              <w:jc w:val="center"/>
              <w:rPr>
                <w:lang w:val="en-GB"/>
              </w:rPr>
            </w:pPr>
            <w:r w:rsidRPr="00B055B7">
              <w:rPr>
                <w:lang w:val="en-GB"/>
              </w:rPr>
              <w:t>1455.616 - 1457.152</w:t>
            </w:r>
          </w:p>
        </w:tc>
      </w:tr>
      <w:tr w:rsidR="00413A48" w:rsidTr="00413A48">
        <w:tc>
          <w:tcPr>
            <w:tcW w:w="2802" w:type="dxa"/>
          </w:tcPr>
          <w:p w:rsidR="00413A48" w:rsidRPr="00B055B7" w:rsidRDefault="00413A48" w:rsidP="00413A48">
            <w:pPr>
              <w:pStyle w:val="TAC"/>
              <w:rPr>
                <w:lang w:val="en-GB"/>
              </w:rPr>
            </w:pPr>
            <w:r w:rsidRPr="00B055B7">
              <w:rPr>
                <w:lang w:val="en-GB"/>
              </w:rPr>
              <w:t>LD</w:t>
            </w:r>
          </w:p>
        </w:tc>
        <w:tc>
          <w:tcPr>
            <w:tcW w:w="3543" w:type="dxa"/>
          </w:tcPr>
          <w:p w:rsidR="00413A48" w:rsidRPr="00B055B7" w:rsidRDefault="00413A48" w:rsidP="00413A48">
            <w:pPr>
              <w:pStyle w:val="TAC"/>
              <w:rPr>
                <w:lang w:val="en-GB"/>
              </w:rPr>
            </w:pPr>
            <w:r w:rsidRPr="00B055B7">
              <w:rPr>
                <w:lang w:val="en-GB"/>
              </w:rPr>
              <w:t>1458.096</w:t>
            </w:r>
          </w:p>
        </w:tc>
        <w:tc>
          <w:tcPr>
            <w:tcW w:w="3510" w:type="dxa"/>
          </w:tcPr>
          <w:p w:rsidR="00413A48" w:rsidRPr="00B055B7" w:rsidRDefault="00413A48" w:rsidP="00413A48">
            <w:pPr>
              <w:pStyle w:val="TAD"/>
              <w:tabs>
                <w:tab w:val="clear" w:pos="567"/>
              </w:tabs>
              <w:jc w:val="center"/>
              <w:rPr>
                <w:lang w:val="en-GB"/>
              </w:rPr>
            </w:pPr>
            <w:r w:rsidRPr="00B055B7">
              <w:rPr>
                <w:lang w:val="en-GB"/>
              </w:rPr>
              <w:t>1457.328 - 1458.864</w:t>
            </w:r>
          </w:p>
        </w:tc>
      </w:tr>
      <w:tr w:rsidR="00413A48" w:rsidTr="00413A48">
        <w:tc>
          <w:tcPr>
            <w:tcW w:w="2802" w:type="dxa"/>
          </w:tcPr>
          <w:p w:rsidR="00413A48" w:rsidRPr="00B055B7" w:rsidRDefault="00413A48" w:rsidP="00413A48">
            <w:pPr>
              <w:pStyle w:val="TAC"/>
              <w:rPr>
                <w:lang w:val="en-GB"/>
              </w:rPr>
            </w:pPr>
            <w:r w:rsidRPr="00B055B7">
              <w:rPr>
                <w:lang w:val="en-GB"/>
              </w:rPr>
              <w:t>LE</w:t>
            </w:r>
          </w:p>
        </w:tc>
        <w:tc>
          <w:tcPr>
            <w:tcW w:w="3543" w:type="dxa"/>
          </w:tcPr>
          <w:p w:rsidR="00413A48" w:rsidRPr="00B055B7" w:rsidRDefault="00413A48" w:rsidP="00413A48">
            <w:pPr>
              <w:pStyle w:val="TAC"/>
              <w:rPr>
                <w:lang w:val="en-GB"/>
              </w:rPr>
            </w:pPr>
            <w:r w:rsidRPr="00B055B7">
              <w:rPr>
                <w:lang w:val="en-GB"/>
              </w:rPr>
              <w:t>1459.808</w:t>
            </w:r>
          </w:p>
        </w:tc>
        <w:tc>
          <w:tcPr>
            <w:tcW w:w="3510" w:type="dxa"/>
          </w:tcPr>
          <w:p w:rsidR="00413A48" w:rsidRPr="00B055B7" w:rsidRDefault="00413A48" w:rsidP="00413A48">
            <w:pPr>
              <w:pStyle w:val="TAD"/>
              <w:tabs>
                <w:tab w:val="clear" w:pos="567"/>
              </w:tabs>
              <w:jc w:val="center"/>
              <w:rPr>
                <w:lang w:val="en-GB"/>
              </w:rPr>
            </w:pPr>
            <w:r w:rsidRPr="00B055B7">
              <w:rPr>
                <w:lang w:val="en-GB"/>
              </w:rPr>
              <w:t>1459.040 - 1460.576</w:t>
            </w:r>
          </w:p>
        </w:tc>
      </w:tr>
      <w:tr w:rsidR="00413A48" w:rsidTr="00413A48">
        <w:tc>
          <w:tcPr>
            <w:tcW w:w="2802" w:type="dxa"/>
          </w:tcPr>
          <w:p w:rsidR="00413A48" w:rsidRPr="00B055B7" w:rsidRDefault="00413A48" w:rsidP="00413A48">
            <w:pPr>
              <w:pStyle w:val="TAC"/>
              <w:rPr>
                <w:lang w:val="en-GB"/>
              </w:rPr>
            </w:pPr>
            <w:r w:rsidRPr="00B055B7">
              <w:rPr>
                <w:lang w:val="en-GB"/>
              </w:rPr>
              <w:t>LF</w:t>
            </w:r>
          </w:p>
        </w:tc>
        <w:tc>
          <w:tcPr>
            <w:tcW w:w="3543" w:type="dxa"/>
          </w:tcPr>
          <w:p w:rsidR="00413A48" w:rsidRPr="00B055B7" w:rsidRDefault="00413A48" w:rsidP="00413A48">
            <w:pPr>
              <w:pStyle w:val="TAC"/>
              <w:rPr>
                <w:lang w:val="en-GB"/>
              </w:rPr>
            </w:pPr>
            <w:r w:rsidRPr="00B055B7">
              <w:rPr>
                <w:lang w:val="en-GB"/>
              </w:rPr>
              <w:t>1461.520</w:t>
            </w:r>
          </w:p>
        </w:tc>
        <w:tc>
          <w:tcPr>
            <w:tcW w:w="3510" w:type="dxa"/>
          </w:tcPr>
          <w:p w:rsidR="00413A48" w:rsidRPr="00B055B7" w:rsidRDefault="00413A48" w:rsidP="00413A48">
            <w:pPr>
              <w:pStyle w:val="TAD"/>
              <w:tabs>
                <w:tab w:val="clear" w:pos="567"/>
              </w:tabs>
              <w:jc w:val="center"/>
              <w:rPr>
                <w:lang w:val="en-GB"/>
              </w:rPr>
            </w:pPr>
            <w:r w:rsidRPr="00B055B7">
              <w:rPr>
                <w:lang w:val="en-GB"/>
              </w:rPr>
              <w:t>1460.752 - 1462.288</w:t>
            </w:r>
          </w:p>
        </w:tc>
      </w:tr>
      <w:tr w:rsidR="00413A48" w:rsidTr="00413A48">
        <w:tc>
          <w:tcPr>
            <w:tcW w:w="2802" w:type="dxa"/>
          </w:tcPr>
          <w:p w:rsidR="00413A48" w:rsidRPr="00B055B7" w:rsidRDefault="00413A48" w:rsidP="00413A48">
            <w:pPr>
              <w:pStyle w:val="TAC"/>
              <w:rPr>
                <w:lang w:val="en-GB"/>
              </w:rPr>
            </w:pPr>
            <w:r w:rsidRPr="00B055B7">
              <w:rPr>
                <w:lang w:val="en-GB"/>
              </w:rPr>
              <w:t>LG</w:t>
            </w:r>
          </w:p>
        </w:tc>
        <w:tc>
          <w:tcPr>
            <w:tcW w:w="3543" w:type="dxa"/>
          </w:tcPr>
          <w:p w:rsidR="00413A48" w:rsidRPr="00B055B7" w:rsidRDefault="00413A48" w:rsidP="00413A48">
            <w:pPr>
              <w:pStyle w:val="TAC"/>
              <w:rPr>
                <w:lang w:val="en-GB"/>
              </w:rPr>
            </w:pPr>
            <w:r w:rsidRPr="00B055B7">
              <w:rPr>
                <w:lang w:val="en-GB"/>
              </w:rPr>
              <w:t>1463.232</w:t>
            </w:r>
          </w:p>
        </w:tc>
        <w:tc>
          <w:tcPr>
            <w:tcW w:w="3510" w:type="dxa"/>
          </w:tcPr>
          <w:p w:rsidR="00413A48" w:rsidRPr="00B055B7" w:rsidRDefault="00413A48" w:rsidP="00413A48">
            <w:pPr>
              <w:pStyle w:val="TAD"/>
              <w:tabs>
                <w:tab w:val="clear" w:pos="567"/>
              </w:tabs>
              <w:jc w:val="center"/>
              <w:rPr>
                <w:lang w:val="en-GB"/>
              </w:rPr>
            </w:pPr>
            <w:r w:rsidRPr="00B055B7">
              <w:rPr>
                <w:lang w:val="en-GB"/>
              </w:rPr>
              <w:t>1462.464 - 1464.000</w:t>
            </w:r>
          </w:p>
        </w:tc>
      </w:tr>
      <w:tr w:rsidR="00413A48" w:rsidTr="00413A48">
        <w:tc>
          <w:tcPr>
            <w:tcW w:w="2802" w:type="dxa"/>
          </w:tcPr>
          <w:p w:rsidR="00413A48" w:rsidRPr="00B055B7" w:rsidRDefault="00413A48" w:rsidP="00413A48">
            <w:pPr>
              <w:pStyle w:val="TAC"/>
              <w:rPr>
                <w:lang w:val="en-GB"/>
              </w:rPr>
            </w:pPr>
            <w:r w:rsidRPr="00B055B7">
              <w:rPr>
                <w:lang w:val="en-GB"/>
              </w:rPr>
              <w:t>LH</w:t>
            </w:r>
          </w:p>
        </w:tc>
        <w:tc>
          <w:tcPr>
            <w:tcW w:w="3543" w:type="dxa"/>
          </w:tcPr>
          <w:p w:rsidR="00413A48" w:rsidRPr="00B055B7" w:rsidRDefault="00413A48" w:rsidP="00413A48">
            <w:pPr>
              <w:pStyle w:val="TAC"/>
              <w:rPr>
                <w:lang w:val="en-GB"/>
              </w:rPr>
            </w:pPr>
            <w:r w:rsidRPr="00B055B7">
              <w:rPr>
                <w:lang w:val="en-GB"/>
              </w:rPr>
              <w:t>1464.944</w:t>
            </w:r>
          </w:p>
        </w:tc>
        <w:tc>
          <w:tcPr>
            <w:tcW w:w="3510" w:type="dxa"/>
          </w:tcPr>
          <w:p w:rsidR="00413A48" w:rsidRPr="00B055B7" w:rsidRDefault="00413A48" w:rsidP="00413A48">
            <w:pPr>
              <w:pStyle w:val="TAD"/>
              <w:tabs>
                <w:tab w:val="clear" w:pos="567"/>
              </w:tabs>
              <w:jc w:val="center"/>
              <w:rPr>
                <w:lang w:val="en-GB"/>
              </w:rPr>
            </w:pPr>
            <w:r w:rsidRPr="00B055B7">
              <w:rPr>
                <w:lang w:val="en-GB"/>
              </w:rPr>
              <w:t>1464.176 - 1465.712</w:t>
            </w:r>
          </w:p>
        </w:tc>
      </w:tr>
      <w:tr w:rsidR="00413A48" w:rsidTr="00413A48">
        <w:tc>
          <w:tcPr>
            <w:tcW w:w="2802" w:type="dxa"/>
          </w:tcPr>
          <w:p w:rsidR="00413A48" w:rsidRPr="00B055B7" w:rsidRDefault="00413A48" w:rsidP="00413A48">
            <w:pPr>
              <w:pStyle w:val="TAC"/>
              <w:rPr>
                <w:lang w:val="en-GB"/>
              </w:rPr>
            </w:pPr>
            <w:r w:rsidRPr="00B055B7">
              <w:rPr>
                <w:lang w:val="en-GB"/>
              </w:rPr>
              <w:t>LI</w:t>
            </w:r>
          </w:p>
        </w:tc>
        <w:tc>
          <w:tcPr>
            <w:tcW w:w="3543" w:type="dxa"/>
          </w:tcPr>
          <w:p w:rsidR="00413A48" w:rsidRPr="00B055B7" w:rsidRDefault="00413A48" w:rsidP="00413A48">
            <w:pPr>
              <w:pStyle w:val="TAC"/>
              <w:rPr>
                <w:lang w:val="en-GB"/>
              </w:rPr>
            </w:pPr>
            <w:r w:rsidRPr="00B055B7">
              <w:rPr>
                <w:lang w:val="en-GB"/>
              </w:rPr>
              <w:t>1466.656</w:t>
            </w:r>
          </w:p>
        </w:tc>
        <w:tc>
          <w:tcPr>
            <w:tcW w:w="3510" w:type="dxa"/>
          </w:tcPr>
          <w:p w:rsidR="00413A48" w:rsidRPr="00B055B7" w:rsidRDefault="00413A48" w:rsidP="00413A48">
            <w:pPr>
              <w:pStyle w:val="TAD"/>
              <w:tabs>
                <w:tab w:val="clear" w:pos="567"/>
              </w:tabs>
              <w:jc w:val="center"/>
              <w:rPr>
                <w:lang w:val="en-GB"/>
              </w:rPr>
            </w:pPr>
            <w:r w:rsidRPr="00B055B7">
              <w:rPr>
                <w:lang w:val="en-GB"/>
              </w:rPr>
              <w:t>1465.888 - 1467.424</w:t>
            </w:r>
          </w:p>
        </w:tc>
      </w:tr>
      <w:tr w:rsidR="00413A48" w:rsidTr="00413A48">
        <w:tc>
          <w:tcPr>
            <w:tcW w:w="2802" w:type="dxa"/>
          </w:tcPr>
          <w:p w:rsidR="00413A48" w:rsidRPr="00B055B7" w:rsidRDefault="00413A48" w:rsidP="00413A48">
            <w:pPr>
              <w:pStyle w:val="TAC"/>
              <w:rPr>
                <w:lang w:val="en-GB"/>
              </w:rPr>
            </w:pPr>
            <w:r w:rsidRPr="00B055B7">
              <w:rPr>
                <w:lang w:val="en-GB"/>
              </w:rPr>
              <w:t>LJ</w:t>
            </w:r>
          </w:p>
        </w:tc>
        <w:tc>
          <w:tcPr>
            <w:tcW w:w="3543" w:type="dxa"/>
          </w:tcPr>
          <w:p w:rsidR="00413A48" w:rsidRPr="00B055B7" w:rsidRDefault="00413A48" w:rsidP="00413A48">
            <w:pPr>
              <w:pStyle w:val="TAC"/>
              <w:rPr>
                <w:lang w:val="en-GB"/>
              </w:rPr>
            </w:pPr>
            <w:r w:rsidRPr="00B055B7">
              <w:rPr>
                <w:lang w:val="en-GB"/>
              </w:rPr>
              <w:t>1468.368</w:t>
            </w:r>
          </w:p>
        </w:tc>
        <w:tc>
          <w:tcPr>
            <w:tcW w:w="3510" w:type="dxa"/>
          </w:tcPr>
          <w:p w:rsidR="00413A48" w:rsidRPr="00B055B7" w:rsidRDefault="00413A48" w:rsidP="00413A48">
            <w:pPr>
              <w:pStyle w:val="TAD"/>
              <w:tabs>
                <w:tab w:val="clear" w:pos="567"/>
              </w:tabs>
              <w:jc w:val="center"/>
              <w:rPr>
                <w:lang w:val="en-GB"/>
              </w:rPr>
            </w:pPr>
            <w:r w:rsidRPr="00B055B7">
              <w:rPr>
                <w:lang w:val="en-GB"/>
              </w:rPr>
              <w:t>1467.600 - 1469.136</w:t>
            </w:r>
          </w:p>
        </w:tc>
      </w:tr>
      <w:tr w:rsidR="00413A48" w:rsidTr="00413A48">
        <w:tc>
          <w:tcPr>
            <w:tcW w:w="2802" w:type="dxa"/>
          </w:tcPr>
          <w:p w:rsidR="00413A48" w:rsidRPr="00B055B7" w:rsidRDefault="00413A48" w:rsidP="00413A48">
            <w:pPr>
              <w:pStyle w:val="TAC"/>
              <w:rPr>
                <w:lang w:val="en-GB"/>
              </w:rPr>
            </w:pPr>
            <w:r w:rsidRPr="00B055B7">
              <w:rPr>
                <w:lang w:val="en-GB"/>
              </w:rPr>
              <w:t>LK</w:t>
            </w:r>
          </w:p>
        </w:tc>
        <w:tc>
          <w:tcPr>
            <w:tcW w:w="3543" w:type="dxa"/>
          </w:tcPr>
          <w:p w:rsidR="00413A48" w:rsidRPr="00B055B7" w:rsidRDefault="00413A48" w:rsidP="00413A48">
            <w:pPr>
              <w:pStyle w:val="TAC"/>
              <w:rPr>
                <w:lang w:val="en-GB"/>
              </w:rPr>
            </w:pPr>
            <w:r w:rsidRPr="00B055B7">
              <w:rPr>
                <w:lang w:val="en-GB"/>
              </w:rPr>
              <w:t>1470.080</w:t>
            </w:r>
          </w:p>
        </w:tc>
        <w:tc>
          <w:tcPr>
            <w:tcW w:w="3510" w:type="dxa"/>
          </w:tcPr>
          <w:p w:rsidR="00413A48" w:rsidRPr="00B055B7" w:rsidRDefault="00413A48" w:rsidP="00413A48">
            <w:pPr>
              <w:pStyle w:val="TAD"/>
              <w:tabs>
                <w:tab w:val="clear" w:pos="567"/>
              </w:tabs>
              <w:jc w:val="center"/>
              <w:rPr>
                <w:lang w:val="en-GB"/>
              </w:rPr>
            </w:pPr>
            <w:r w:rsidRPr="00B055B7">
              <w:rPr>
                <w:lang w:val="en-GB"/>
              </w:rPr>
              <w:t>1469.312 - 1470.848</w:t>
            </w:r>
          </w:p>
        </w:tc>
      </w:tr>
      <w:tr w:rsidR="00413A48" w:rsidTr="00413A48">
        <w:tc>
          <w:tcPr>
            <w:tcW w:w="2802" w:type="dxa"/>
          </w:tcPr>
          <w:p w:rsidR="00413A48" w:rsidRPr="00B055B7" w:rsidRDefault="00413A48" w:rsidP="00413A48">
            <w:pPr>
              <w:pStyle w:val="TAC"/>
              <w:rPr>
                <w:lang w:val="en-GB"/>
              </w:rPr>
            </w:pPr>
            <w:r w:rsidRPr="00B055B7">
              <w:rPr>
                <w:lang w:val="en-GB"/>
              </w:rPr>
              <w:t>LL</w:t>
            </w:r>
          </w:p>
        </w:tc>
        <w:tc>
          <w:tcPr>
            <w:tcW w:w="3543" w:type="dxa"/>
          </w:tcPr>
          <w:p w:rsidR="00413A48" w:rsidRPr="00B055B7" w:rsidRDefault="00413A48" w:rsidP="00413A48">
            <w:pPr>
              <w:pStyle w:val="TAC"/>
              <w:rPr>
                <w:lang w:val="en-GB"/>
              </w:rPr>
            </w:pPr>
            <w:r w:rsidRPr="00B055B7">
              <w:rPr>
                <w:lang w:val="en-GB"/>
              </w:rPr>
              <w:t>1471.792</w:t>
            </w:r>
          </w:p>
        </w:tc>
        <w:tc>
          <w:tcPr>
            <w:tcW w:w="3510" w:type="dxa"/>
          </w:tcPr>
          <w:p w:rsidR="00413A48" w:rsidRPr="00B055B7" w:rsidRDefault="00413A48" w:rsidP="00413A48">
            <w:pPr>
              <w:pStyle w:val="TAD"/>
              <w:tabs>
                <w:tab w:val="clear" w:pos="567"/>
              </w:tabs>
              <w:jc w:val="center"/>
              <w:rPr>
                <w:lang w:val="en-GB"/>
              </w:rPr>
            </w:pPr>
            <w:r w:rsidRPr="00B055B7">
              <w:rPr>
                <w:lang w:val="en-GB"/>
              </w:rPr>
              <w:t>1471.024 - 1472.560</w:t>
            </w:r>
          </w:p>
        </w:tc>
      </w:tr>
      <w:tr w:rsidR="00413A48" w:rsidRPr="0052738E" w:rsidTr="00413A48">
        <w:tc>
          <w:tcPr>
            <w:tcW w:w="2802" w:type="dxa"/>
          </w:tcPr>
          <w:p w:rsidR="00413A48" w:rsidRPr="00B055B7" w:rsidRDefault="00413A48" w:rsidP="00413A48">
            <w:pPr>
              <w:pStyle w:val="TAC"/>
              <w:rPr>
                <w:lang w:val="en-GB"/>
              </w:rPr>
            </w:pPr>
            <w:r w:rsidRPr="00B055B7">
              <w:rPr>
                <w:lang w:val="en-GB"/>
              </w:rPr>
              <w:t>LM</w:t>
            </w:r>
          </w:p>
        </w:tc>
        <w:tc>
          <w:tcPr>
            <w:tcW w:w="3543" w:type="dxa"/>
          </w:tcPr>
          <w:p w:rsidR="00413A48" w:rsidRPr="00B055B7" w:rsidRDefault="00413A48" w:rsidP="00413A48">
            <w:pPr>
              <w:pStyle w:val="TAC"/>
              <w:rPr>
                <w:lang w:val="en-GB"/>
              </w:rPr>
            </w:pPr>
            <w:r w:rsidRPr="00B055B7">
              <w:rPr>
                <w:lang w:val="en-GB"/>
              </w:rPr>
              <w:t>1473.504</w:t>
            </w:r>
          </w:p>
        </w:tc>
        <w:tc>
          <w:tcPr>
            <w:tcW w:w="3510" w:type="dxa"/>
          </w:tcPr>
          <w:p w:rsidR="00413A48" w:rsidRPr="00B055B7" w:rsidRDefault="00413A48" w:rsidP="00413A48">
            <w:pPr>
              <w:pStyle w:val="TAD"/>
              <w:tabs>
                <w:tab w:val="clear" w:pos="567"/>
              </w:tabs>
              <w:jc w:val="center"/>
              <w:rPr>
                <w:lang w:val="en-GB"/>
              </w:rPr>
            </w:pPr>
            <w:r w:rsidRPr="00B055B7">
              <w:rPr>
                <w:lang w:val="en-GB"/>
              </w:rPr>
              <w:t>1472.736 - 1474.272</w:t>
            </w:r>
          </w:p>
        </w:tc>
      </w:tr>
      <w:tr w:rsidR="00413A48" w:rsidRPr="0052738E" w:rsidTr="00413A48">
        <w:tc>
          <w:tcPr>
            <w:tcW w:w="2802" w:type="dxa"/>
          </w:tcPr>
          <w:p w:rsidR="00413A48" w:rsidRPr="00B055B7" w:rsidRDefault="00413A48" w:rsidP="00413A48">
            <w:pPr>
              <w:pStyle w:val="TAC"/>
              <w:rPr>
                <w:lang w:val="en-GB"/>
              </w:rPr>
            </w:pPr>
            <w:r w:rsidRPr="00B055B7">
              <w:rPr>
                <w:lang w:val="en-GB"/>
              </w:rPr>
              <w:t>LN</w:t>
            </w:r>
          </w:p>
        </w:tc>
        <w:tc>
          <w:tcPr>
            <w:tcW w:w="3543" w:type="dxa"/>
          </w:tcPr>
          <w:p w:rsidR="00413A48" w:rsidRPr="00B055B7" w:rsidRDefault="00413A48" w:rsidP="00413A48">
            <w:pPr>
              <w:pStyle w:val="TAC"/>
              <w:rPr>
                <w:lang w:val="en-GB"/>
              </w:rPr>
            </w:pPr>
            <w:r w:rsidRPr="00B055B7">
              <w:rPr>
                <w:lang w:val="en-GB"/>
              </w:rPr>
              <w:t>1475.216</w:t>
            </w:r>
          </w:p>
        </w:tc>
        <w:tc>
          <w:tcPr>
            <w:tcW w:w="3510" w:type="dxa"/>
          </w:tcPr>
          <w:p w:rsidR="00413A48" w:rsidRPr="00B055B7" w:rsidRDefault="00413A48" w:rsidP="00413A48">
            <w:pPr>
              <w:pStyle w:val="TAD"/>
              <w:tabs>
                <w:tab w:val="clear" w:pos="567"/>
              </w:tabs>
              <w:jc w:val="center"/>
              <w:rPr>
                <w:lang w:val="en-GB"/>
              </w:rPr>
            </w:pPr>
            <w:r w:rsidRPr="00B055B7">
              <w:rPr>
                <w:lang w:val="en-GB"/>
              </w:rPr>
              <w:t>1474.448 - 1475.984</w:t>
            </w:r>
          </w:p>
        </w:tc>
      </w:tr>
      <w:tr w:rsidR="00413A48" w:rsidRPr="0052738E" w:rsidTr="00413A48">
        <w:tc>
          <w:tcPr>
            <w:tcW w:w="2802" w:type="dxa"/>
          </w:tcPr>
          <w:p w:rsidR="00413A48" w:rsidRPr="00B055B7" w:rsidRDefault="00413A48" w:rsidP="00413A48">
            <w:pPr>
              <w:pStyle w:val="TAC"/>
              <w:rPr>
                <w:lang w:val="en-GB"/>
              </w:rPr>
            </w:pPr>
            <w:r w:rsidRPr="00B055B7">
              <w:rPr>
                <w:lang w:val="en-GB"/>
              </w:rPr>
              <w:t>LO</w:t>
            </w:r>
          </w:p>
        </w:tc>
        <w:tc>
          <w:tcPr>
            <w:tcW w:w="3543" w:type="dxa"/>
          </w:tcPr>
          <w:p w:rsidR="00413A48" w:rsidRPr="00B055B7" w:rsidRDefault="00413A48" w:rsidP="00413A48">
            <w:pPr>
              <w:pStyle w:val="TAC"/>
              <w:rPr>
                <w:lang w:val="en-GB"/>
              </w:rPr>
            </w:pPr>
            <w:r w:rsidRPr="00B055B7">
              <w:rPr>
                <w:lang w:val="en-GB"/>
              </w:rPr>
              <w:t>1476.928</w:t>
            </w:r>
          </w:p>
        </w:tc>
        <w:tc>
          <w:tcPr>
            <w:tcW w:w="3510" w:type="dxa"/>
          </w:tcPr>
          <w:p w:rsidR="00413A48" w:rsidRPr="00B055B7" w:rsidRDefault="00413A48" w:rsidP="00413A48">
            <w:pPr>
              <w:pStyle w:val="TAD"/>
              <w:tabs>
                <w:tab w:val="clear" w:pos="567"/>
              </w:tabs>
              <w:jc w:val="center"/>
              <w:rPr>
                <w:lang w:val="en-GB"/>
              </w:rPr>
            </w:pPr>
            <w:r w:rsidRPr="00B055B7">
              <w:rPr>
                <w:lang w:val="en-GB"/>
              </w:rPr>
              <w:t>1476.160 - 1477.696</w:t>
            </w:r>
          </w:p>
        </w:tc>
      </w:tr>
      <w:tr w:rsidR="00413A48" w:rsidRPr="0052738E" w:rsidTr="00413A48">
        <w:tc>
          <w:tcPr>
            <w:tcW w:w="2802" w:type="dxa"/>
          </w:tcPr>
          <w:p w:rsidR="00413A48" w:rsidRPr="00B055B7" w:rsidRDefault="00413A48" w:rsidP="00413A48">
            <w:pPr>
              <w:pStyle w:val="TAC"/>
              <w:rPr>
                <w:lang w:val="en-GB"/>
              </w:rPr>
            </w:pPr>
            <w:r w:rsidRPr="00B055B7">
              <w:rPr>
                <w:lang w:val="en-GB"/>
              </w:rPr>
              <w:t>LP</w:t>
            </w:r>
          </w:p>
        </w:tc>
        <w:tc>
          <w:tcPr>
            <w:tcW w:w="3543" w:type="dxa"/>
          </w:tcPr>
          <w:p w:rsidR="00413A48" w:rsidRPr="00B055B7" w:rsidRDefault="00413A48" w:rsidP="00413A48">
            <w:pPr>
              <w:pStyle w:val="TAC"/>
              <w:rPr>
                <w:lang w:val="en-GB"/>
              </w:rPr>
            </w:pPr>
            <w:r w:rsidRPr="00B055B7">
              <w:rPr>
                <w:lang w:val="en-GB"/>
              </w:rPr>
              <w:t>1478.640</w:t>
            </w:r>
          </w:p>
        </w:tc>
        <w:tc>
          <w:tcPr>
            <w:tcW w:w="3510" w:type="dxa"/>
          </w:tcPr>
          <w:p w:rsidR="00413A48" w:rsidRPr="00B055B7" w:rsidRDefault="00413A48" w:rsidP="00413A48">
            <w:pPr>
              <w:pStyle w:val="TAD"/>
              <w:tabs>
                <w:tab w:val="clear" w:pos="567"/>
              </w:tabs>
              <w:jc w:val="center"/>
              <w:rPr>
                <w:lang w:val="en-GB"/>
              </w:rPr>
            </w:pPr>
            <w:r w:rsidRPr="00B055B7">
              <w:rPr>
                <w:lang w:val="en-GB"/>
              </w:rPr>
              <w:t>1477.872 - 1479.408</w:t>
            </w:r>
          </w:p>
        </w:tc>
      </w:tr>
    </w:tbl>
    <w:p w:rsidR="00413A48" w:rsidRDefault="00DC4FFC" w:rsidP="00DC4FFC">
      <w:pPr>
        <w:pStyle w:val="ECCAnnexheading2"/>
      </w:pPr>
      <w:r>
        <w:t>Envelop concept</w:t>
      </w:r>
    </w:p>
    <w:p w:rsidR="00DC4FFC" w:rsidRDefault="00DC4FFC" w:rsidP="00DC4FFC">
      <w:pPr>
        <w:pStyle w:val="ECCParagraph"/>
      </w:pPr>
      <w:r>
        <w:t>The envelop concept and the possibility to use T-DAB Plan entries for terrestrial mobile multimedia was introduced in the MA02revCO07 through Article 2.4:</w:t>
      </w:r>
    </w:p>
    <w:p w:rsidR="00DC4FFC" w:rsidRDefault="00DC4FFC" w:rsidP="00DC4FFC">
      <w:pPr>
        <w:pStyle w:val="ECCParagraph"/>
      </w:pPr>
      <w:r>
        <w:t>“</w:t>
      </w:r>
    </w:p>
    <w:p w:rsidR="00DC4FFC" w:rsidRPr="00DF5EEE" w:rsidRDefault="00DC4FFC" w:rsidP="00DC4FFC">
      <w:pPr>
        <w:pStyle w:val="ECCParagraph"/>
      </w:pPr>
      <w:r w:rsidRPr="00DF5EEE">
        <w:rPr>
          <w:b/>
          <w:bCs/>
        </w:rPr>
        <w:lastRenderedPageBreak/>
        <w:t>2.4</w:t>
      </w:r>
      <w:r w:rsidRPr="00DF5EEE">
        <w:tab/>
        <w:t>The T-DAB Plan entries may be used for terrestrial mobile multimedia services with characteristics that may be different from those appearing in the Plan but within the envelope of their T-DAB Plan entry or aggregate entries under the provisions of the Special Arrangement, and that their administrations agree that any such use will be afforded protection to the levels defined by the interfering field strengths as arising from their Plan entries, taking into account any relevant bilateral agreements.</w:t>
      </w:r>
    </w:p>
    <w:p w:rsidR="00DC4FFC" w:rsidRDefault="00DC4FFC" w:rsidP="00DC4FFC">
      <w:pPr>
        <w:pStyle w:val="ECCParagraph"/>
        <w:rPr>
          <w:rFonts w:ascii="TimesNewRomanPSMT" w:hAnsi="TimesNewRomanPSMT" w:cs="TimesNewRomanPSMT"/>
          <w:sz w:val="23"/>
          <w:szCs w:val="23"/>
          <w:lang w:val="en-US"/>
        </w:rPr>
      </w:pPr>
      <w:r>
        <w:rPr>
          <w:rFonts w:ascii="TimesNewRomanPSMT" w:hAnsi="TimesNewRomanPSMT" w:cs="TimesNewRomanPSMT"/>
          <w:sz w:val="23"/>
          <w:szCs w:val="23"/>
          <w:lang w:val="en-US"/>
        </w:rPr>
        <w:t>”</w:t>
      </w:r>
    </w:p>
    <w:p w:rsidR="00DC4FFC" w:rsidRDefault="00DC4FFC" w:rsidP="00DC4FFC">
      <w:pPr>
        <w:pStyle w:val="ECCAnnexheading2"/>
        <w:rPr>
          <w:bCs/>
        </w:rPr>
      </w:pPr>
      <w:r>
        <w:rPr>
          <w:bCs/>
        </w:rPr>
        <w:t>Aggregation of T-DAB blocks</w:t>
      </w:r>
    </w:p>
    <w:p w:rsidR="00DC4FFC" w:rsidRDefault="00DC4FFC" w:rsidP="00DC4FFC">
      <w:pPr>
        <w:pStyle w:val="ECCParagraph"/>
      </w:pPr>
      <w:r>
        <w:rPr>
          <w:lang w:val="en-US"/>
        </w:rPr>
        <w:t xml:space="preserve">Beyond the envelop concept, MA02revCO07 </w:t>
      </w:r>
      <w:r w:rsidRPr="001807EA">
        <w:t>also includes regulatory provisions to add flexibility to the Plan to allow a different uses of T-DAB plan entries and the possibilities to operate systems requiring a bandwidth larger</w:t>
      </w:r>
      <w:r>
        <w:t xml:space="preserve"> than 1.7 MHz</w:t>
      </w:r>
      <w:r>
        <w:rPr>
          <w:lang w:val="en-US"/>
        </w:rPr>
        <w:t>. The</w:t>
      </w:r>
      <w:r w:rsidRPr="006D3045">
        <w:rPr>
          <w:lang w:val="en-US"/>
        </w:rPr>
        <w:t xml:space="preserve"> possibility to aggregate T-DAB blocks is reflected in a number of sections </w:t>
      </w:r>
      <w:r>
        <w:rPr>
          <w:lang w:val="en-US"/>
        </w:rPr>
        <w:t xml:space="preserve">of the Arrangement which </w:t>
      </w:r>
      <w:r w:rsidRPr="006D3045">
        <w:rPr>
          <w:lang w:val="en-US"/>
        </w:rPr>
        <w:t>mention</w:t>
      </w:r>
      <w:r>
        <w:rPr>
          <w:lang w:val="en-US"/>
        </w:rPr>
        <w:t>s</w:t>
      </w:r>
      <w:r w:rsidRPr="006D3045">
        <w:rPr>
          <w:lang w:val="en-US"/>
        </w:rPr>
        <w:t xml:space="preserve"> the aggregated case and in particular in Annex 2 – section 5.3 which provides </w:t>
      </w:r>
      <w:r>
        <w:rPr>
          <w:lang w:val="en-US"/>
        </w:rPr>
        <w:t xml:space="preserve">a </w:t>
      </w:r>
      <w:r w:rsidRPr="006D3045">
        <w:t>spectrum mask for two aggregated T-DAB frequency blocks.</w:t>
      </w:r>
      <w:r>
        <w:t xml:space="preserve"> </w:t>
      </w:r>
    </w:p>
    <w:p w:rsidR="00DC4FFC" w:rsidRDefault="00DC4FFC" w:rsidP="00DC4FFC">
      <w:pPr>
        <w:pStyle w:val="ECCParagraph"/>
        <w:rPr>
          <w:lang w:val="en-US"/>
        </w:rPr>
      </w:pPr>
    </w:p>
    <w:p w:rsidR="00DC4FFC" w:rsidRDefault="00DC4FFC" w:rsidP="00DC4FFC">
      <w:pPr>
        <w:pStyle w:val="ECCParagraph"/>
        <w:jc w:val="center"/>
        <w:rPr>
          <w:lang w:val="en-US"/>
        </w:rPr>
      </w:pPr>
      <w:r>
        <w:rPr>
          <w:noProof/>
          <w:lang w:val="fr-FR" w:eastAsia="fr-FR"/>
        </w:rPr>
        <w:drawing>
          <wp:inline distT="0" distB="0" distL="0" distR="0" wp14:anchorId="4F6093F8" wp14:editId="47196816">
            <wp:extent cx="3357880" cy="32404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l="27695" t="23624" r="30621" b="21510"/>
                    <a:stretch>
                      <a:fillRect/>
                    </a:stretch>
                  </pic:blipFill>
                  <pic:spPr bwMode="auto">
                    <a:xfrm>
                      <a:off x="0" y="0"/>
                      <a:ext cx="3357880" cy="3240405"/>
                    </a:xfrm>
                    <a:prstGeom prst="rect">
                      <a:avLst/>
                    </a:prstGeom>
                    <a:noFill/>
                    <a:ln>
                      <a:noFill/>
                    </a:ln>
                  </pic:spPr>
                </pic:pic>
              </a:graphicData>
            </a:graphic>
          </wp:inline>
        </w:drawing>
      </w:r>
    </w:p>
    <w:p w:rsidR="00DC4FFC" w:rsidRDefault="00DC4FFC" w:rsidP="007E42E6">
      <w:pPr>
        <w:pStyle w:val="ECCFiguretitle"/>
      </w:pPr>
      <w:r>
        <w:t xml:space="preserve">Example of </w:t>
      </w:r>
      <w:r w:rsidRPr="00EC4A50">
        <w:t xml:space="preserve">Aggregation of 2 </w:t>
      </w:r>
      <w:r>
        <w:t xml:space="preserve">x 1.7 MHz </w:t>
      </w:r>
      <w:r w:rsidRPr="00EC4A50">
        <w:t>T-DAB blocks</w:t>
      </w:r>
    </w:p>
    <w:p w:rsidR="00DC4FFC" w:rsidRPr="00DC4FFC" w:rsidRDefault="00DC4FFC" w:rsidP="00DC4FFC">
      <w:pPr>
        <w:pStyle w:val="ECCParagraph"/>
        <w:rPr>
          <w:lang w:val="en-US"/>
        </w:rPr>
      </w:pPr>
      <w:r w:rsidRPr="004F22E4">
        <w:rPr>
          <w:lang w:val="en-US"/>
        </w:rPr>
        <w:t xml:space="preserve">The Arrangement further </w:t>
      </w:r>
      <w:r w:rsidRPr="004E3CB2">
        <w:rPr>
          <w:lang w:val="en-US"/>
        </w:rPr>
        <w:t xml:space="preserve">enables the aggregation of any number of contiguous </w:t>
      </w:r>
      <w:r w:rsidRPr="001807EA">
        <w:t xml:space="preserve">1.7 MHz </w:t>
      </w:r>
      <w:r w:rsidRPr="004F22E4">
        <w:rPr>
          <w:lang w:val="en-US"/>
        </w:rPr>
        <w:t>blocks</w:t>
      </w:r>
      <w:r w:rsidRPr="001807EA">
        <w:t xml:space="preserve"> over a given area</w:t>
      </w:r>
      <w:r w:rsidRPr="004F22E4">
        <w:rPr>
          <w:lang w:val="en-US"/>
        </w:rPr>
        <w:t xml:space="preserve">. </w:t>
      </w:r>
      <w:r w:rsidRPr="004F22E4">
        <w:t>In order</w:t>
      </w:r>
      <w:r w:rsidRPr="00645B56">
        <w:t xml:space="preserve"> to introduce </w:t>
      </w:r>
      <w:r w:rsidRPr="001807EA">
        <w:rPr>
          <w:lang w:val="en-US"/>
        </w:rPr>
        <w:t>terrestrial mobile multimedia services according to paragraph 2.4 of the Special Arrangement, t</w:t>
      </w:r>
      <w:r w:rsidRPr="00645B56">
        <w:t>he following provisions apply:</w:t>
      </w:r>
    </w:p>
    <w:p w:rsidR="00DC4FFC" w:rsidRDefault="00DC4FFC" w:rsidP="00DC4FFC">
      <w:r>
        <w:t>P</w:t>
      </w:r>
      <w:r w:rsidRPr="00A302BE">
        <w:t xml:space="preserve">aragraph 6.1.2 </w:t>
      </w:r>
    </w:p>
    <w:p w:rsidR="00DC4FFC" w:rsidRPr="00A302BE" w:rsidRDefault="00DC4FFC" w:rsidP="00DC4FFC">
      <w:r w:rsidRPr="00A302BE">
        <w:t>“</w:t>
      </w:r>
    </w:p>
    <w:p w:rsidR="00DC4FFC" w:rsidRPr="00A302BE" w:rsidRDefault="00DC4FFC" w:rsidP="00DC4FFC">
      <w:r w:rsidRPr="00A302BE">
        <w:t>6.1.2 Services brought into use under the terms of paragraph 2.4 shall not cause more interference nor claim more protection than the relevant T-DAB allotments in the Plan. Systems with a bandwidth greater than one single T-DAB frequency block may be brought into operation by aggregating contiguous T-DAB frequency blocks which appear in the Plan under the conditions given in Annex 2.</w:t>
      </w:r>
    </w:p>
    <w:p w:rsidR="00DC4FFC" w:rsidRPr="00A302BE" w:rsidRDefault="00DC4FFC" w:rsidP="00DC4FFC">
      <w:r w:rsidRPr="00A302BE">
        <w:t>“</w:t>
      </w:r>
    </w:p>
    <w:p w:rsidR="00DC4FFC" w:rsidRPr="00A302BE" w:rsidRDefault="00DC4FFC" w:rsidP="00DC4FFC"/>
    <w:p w:rsidR="00DC4FFC" w:rsidRPr="00A302BE" w:rsidRDefault="00DC4FFC" w:rsidP="00DC4FFC">
      <w:r w:rsidRPr="00A302BE">
        <w:t>Annex 2, Section 2.3.3:</w:t>
      </w:r>
    </w:p>
    <w:p w:rsidR="00DC4FFC" w:rsidRPr="00A302BE" w:rsidRDefault="00DC4FFC" w:rsidP="00DC4FFC">
      <w:r w:rsidRPr="00A302BE">
        <w:t>“</w:t>
      </w:r>
    </w:p>
    <w:p w:rsidR="00DC4FFC" w:rsidRPr="00A302BE" w:rsidRDefault="00DC4FFC" w:rsidP="00DC4FFC">
      <w:r w:rsidRPr="00A302BE">
        <w:lastRenderedPageBreak/>
        <w:t>If a system is to be brought into operation in accordance with paragraph 6.1.2 the radiated signal between the edges shall not exceed the limit as defined by the blue line in Figure 3 (example of two aggregated T-DAB frequency blocks). Case 1 or Case 2 masks may be applied independently at either band edge of aggregated T-DAB frequency blocks.</w:t>
      </w:r>
    </w:p>
    <w:p w:rsidR="00DC4FFC" w:rsidRPr="00A302BE" w:rsidRDefault="00DC4FFC" w:rsidP="00DC4FFC">
      <w:r w:rsidRPr="00A302BE">
        <w:t>”</w:t>
      </w:r>
    </w:p>
    <w:p w:rsidR="00DC4FFC" w:rsidRPr="00511D03" w:rsidRDefault="00DC4FFC" w:rsidP="00DC4FFC">
      <w:pPr>
        <w:spacing w:before="60"/>
        <w:rPr>
          <w:b/>
          <w:bCs/>
        </w:rPr>
      </w:pPr>
    </w:p>
    <w:p w:rsidR="00DC4FFC" w:rsidRDefault="007C3130" w:rsidP="00DC4FFC">
      <w:r>
        <w:fldChar w:fldCharType="begin"/>
      </w:r>
      <w:r>
        <w:instrText xml:space="preserve"> REF _Ref319333791 \n \h </w:instrText>
      </w:r>
      <w:r>
        <w:fldChar w:fldCharType="separate"/>
      </w:r>
      <w:r>
        <w:t>Figure 2:</w:t>
      </w:r>
      <w:r>
        <w:fldChar w:fldCharType="end"/>
      </w:r>
      <w:r w:rsidR="00DC4FFC" w:rsidRPr="000A424B">
        <w:t xml:space="preserve"> below shows </w:t>
      </w:r>
      <w:r w:rsidR="00DC4FFC">
        <w:t xml:space="preserve">an example of </w:t>
      </w:r>
      <w:r w:rsidR="00DC4FFC" w:rsidRPr="000A424B">
        <w:t xml:space="preserve">how 3 x 1.7 MHz blocks could be aggregated into a </w:t>
      </w:r>
      <w:r w:rsidR="00DC4FFC" w:rsidRPr="00957DC5">
        <w:t>5.1</w:t>
      </w:r>
      <w:r w:rsidR="00DC4FFC" w:rsidRPr="000A424B">
        <w:t> MHz block</w:t>
      </w:r>
      <w:r w:rsidR="00DC4FFC">
        <w:t xml:space="preserve"> allowing for 5 MHz based technology to be deployed</w:t>
      </w:r>
      <w:r w:rsidR="00DC4FFC" w:rsidRPr="000A424B">
        <w:t>.</w:t>
      </w:r>
    </w:p>
    <w:p w:rsidR="00DC4FFC" w:rsidRDefault="00DC4FFC" w:rsidP="00DC4FFC"/>
    <w:p w:rsidR="00DC4FFC" w:rsidRDefault="00DC4FFC" w:rsidP="007E42E6">
      <w:pPr>
        <w:pStyle w:val="ECCFiguretitle"/>
      </w:pPr>
      <w:bookmarkStart w:id="87" w:name="_Ref319333791"/>
      <w:r w:rsidRPr="00EC4A50">
        <w:t xml:space="preserve">Example of aggregation of 3 T-DAB blocks aggregated into </w:t>
      </w:r>
      <w:r w:rsidRPr="00C72D69">
        <w:t>a 5.1MHz</w:t>
      </w:r>
      <w:r w:rsidRPr="00EC4A50">
        <w:t xml:space="preserve"> block </w:t>
      </w:r>
      <w:r>
        <w:br/>
      </w:r>
      <w:r w:rsidRPr="00EC4A50">
        <w:t>(from CEPT</w:t>
      </w:r>
      <w:r>
        <w:t xml:space="preserve"> Report </w:t>
      </w:r>
      <w:r w:rsidRPr="00EC4A50">
        <w:t>18)</w:t>
      </w:r>
      <w:bookmarkEnd w:id="87"/>
    </w:p>
    <w:p w:rsidR="00DC4FFC" w:rsidRDefault="00DC4FFC" w:rsidP="00DC4FFC">
      <w:pPr>
        <w:jc w:val="center"/>
      </w:pPr>
      <w:r>
        <w:rPr>
          <w:noProof/>
          <w:lang w:val="fr-FR" w:eastAsia="fr-FR"/>
        </w:rPr>
        <w:drawing>
          <wp:inline distT="0" distB="0" distL="0" distR="0" wp14:anchorId="34BAE969" wp14:editId="01993DAF">
            <wp:extent cx="4638040" cy="24288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38040" cy="2428875"/>
                    </a:xfrm>
                    <a:prstGeom prst="rect">
                      <a:avLst/>
                    </a:prstGeom>
                    <a:noFill/>
                    <a:ln>
                      <a:noFill/>
                    </a:ln>
                  </pic:spPr>
                </pic:pic>
              </a:graphicData>
            </a:graphic>
          </wp:inline>
        </w:drawing>
      </w:r>
    </w:p>
    <w:p w:rsidR="00DC4FFC" w:rsidRDefault="00DC4FFC" w:rsidP="00DC4FFC"/>
    <w:p w:rsidR="00DC4FFC" w:rsidRDefault="00DC4FFC" w:rsidP="00DC4FFC">
      <w:pPr>
        <w:pStyle w:val="ECCParagraph"/>
      </w:pPr>
      <w:r>
        <w:t>The following figure</w:t>
      </w:r>
      <w:r w:rsidRPr="000A424B">
        <w:t xml:space="preserve"> indicates </w:t>
      </w:r>
      <w:r>
        <w:t xml:space="preserve">an example on </w:t>
      </w:r>
      <w:r w:rsidRPr="000A424B">
        <w:t xml:space="preserve">how the 1.7 MHz blocks could be aggregated into </w:t>
      </w:r>
      <w:r w:rsidRPr="00EC4A50">
        <w:t>5</w:t>
      </w:r>
      <w:r>
        <w:t>.1</w:t>
      </w:r>
      <w:r w:rsidRPr="000A424B">
        <w:t> MHz blocks</w:t>
      </w:r>
      <w:r>
        <w:t xml:space="preserve"> allowing the deployment of 5 MHz based technology.</w:t>
      </w:r>
    </w:p>
    <w:p w:rsidR="00DC4FFC" w:rsidRDefault="00DC4FFC" w:rsidP="00DC4FFC">
      <w:pPr>
        <w:pStyle w:val="ECCParagraph"/>
      </w:pPr>
    </w:p>
    <w:p w:rsidR="00DC4FFC" w:rsidRDefault="00DC4FFC" w:rsidP="007E42E6">
      <w:pPr>
        <w:pStyle w:val="ECCFiguretitle"/>
      </w:pPr>
      <w:r>
        <w:t xml:space="preserve">One potential </w:t>
      </w:r>
      <w:r w:rsidRPr="00C72D69">
        <w:t>Frequency raster</w:t>
      </w:r>
      <w:r>
        <w:t xml:space="preserve"> f</w:t>
      </w:r>
      <w:r w:rsidRPr="00C72D69">
        <w:t>or block aggregation in the band 1452 – 1479.5 MHz</w:t>
      </w:r>
      <w:r>
        <w:t xml:space="preserve">, </w:t>
      </w:r>
      <w:r>
        <w:br/>
        <w:t>as depicted in CEPT Report 18</w:t>
      </w:r>
    </w:p>
    <w:p w:rsidR="00DC4FFC" w:rsidRDefault="00DC4FFC" w:rsidP="00DC4FFC">
      <w:pPr>
        <w:pStyle w:val="ECCParagraph"/>
        <w:jc w:val="center"/>
      </w:pPr>
      <w:r>
        <w:rPr>
          <w:noProof/>
          <w:lang w:val="fr-FR" w:eastAsia="fr-FR"/>
        </w:rPr>
        <w:drawing>
          <wp:inline distT="0" distB="0" distL="0" distR="0" wp14:anchorId="6EE0228F" wp14:editId="279ACCCD">
            <wp:extent cx="5486400" cy="15798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b="40044"/>
                    <a:stretch>
                      <a:fillRect/>
                    </a:stretch>
                  </pic:blipFill>
                  <pic:spPr bwMode="auto">
                    <a:xfrm>
                      <a:off x="0" y="0"/>
                      <a:ext cx="5486400" cy="1579880"/>
                    </a:xfrm>
                    <a:prstGeom prst="rect">
                      <a:avLst/>
                    </a:prstGeom>
                    <a:noFill/>
                    <a:ln>
                      <a:noFill/>
                    </a:ln>
                  </pic:spPr>
                </pic:pic>
              </a:graphicData>
            </a:graphic>
          </wp:inline>
        </w:drawing>
      </w:r>
    </w:p>
    <w:p w:rsidR="00DC4FFC" w:rsidRDefault="00DC4FFC" w:rsidP="00DC4FFC">
      <w:pPr>
        <w:pStyle w:val="ECCParagraph"/>
        <w:jc w:val="center"/>
      </w:pPr>
    </w:p>
    <w:p w:rsidR="00DC4FFC" w:rsidRPr="0077659F" w:rsidRDefault="00DC4FFC" w:rsidP="00DC4FFC">
      <w:pPr>
        <w:pStyle w:val="ECCParagraph"/>
      </w:pPr>
      <w:r w:rsidRPr="001807EA">
        <w:t>Systems with a bandwidth greater than one single T-DAB frequency block may be brought into operation by aggregating contiguous T-DAB frequency blocks which appear in the Plan under the conditions given in Annex 2 to the Special Arrangement. The Special Arrangement also allows for the aggregation of contiguous blocks operated toward the same area.</w:t>
      </w:r>
    </w:p>
    <w:p w:rsidR="00DC4FFC" w:rsidRDefault="00DC4FFC" w:rsidP="00DC4FFC">
      <w:pPr>
        <w:pStyle w:val="ECCAnnexheading2"/>
        <w:rPr>
          <w:bCs/>
        </w:rPr>
      </w:pPr>
      <w:r w:rsidRPr="00DD627B">
        <w:rPr>
          <w:bCs/>
        </w:rPr>
        <w:lastRenderedPageBreak/>
        <w:t xml:space="preserve">Existence of contiguous frequency blocks </w:t>
      </w:r>
      <w:r>
        <w:rPr>
          <w:bCs/>
        </w:rPr>
        <w:t xml:space="preserve">over a given area </w:t>
      </w:r>
      <w:r w:rsidRPr="00DD627B">
        <w:rPr>
          <w:bCs/>
        </w:rPr>
        <w:t>in the Plan</w:t>
      </w:r>
    </w:p>
    <w:p w:rsidR="00DC4FFC" w:rsidRDefault="00DC4FFC" w:rsidP="00DC4FFC">
      <w:pPr>
        <w:pStyle w:val="ECCParagraph"/>
        <w:rPr>
          <w:lang w:val="en-US"/>
        </w:rPr>
      </w:pPr>
      <w:r>
        <w:t xml:space="preserve">Administrations may </w:t>
      </w:r>
      <w:r w:rsidRPr="00596D5D">
        <w:t>choose to aggregate over a given area contiguous blocks in order to allow for the deployment of systems with a bandwidth greater than one single T-DAB frequency block in this area. The following table provides</w:t>
      </w:r>
      <w:r>
        <w:rPr>
          <w:lang w:val="en-US"/>
        </w:rPr>
        <w:t xml:space="preserve"> an overview of the number of Allotments per country (August 2011).</w:t>
      </w:r>
    </w:p>
    <w:p w:rsidR="00596D5D" w:rsidRPr="00DC4FFC" w:rsidRDefault="00596D5D" w:rsidP="007E42E6">
      <w:pPr>
        <w:pStyle w:val="ECCTabletitle"/>
      </w:pPr>
      <w:r>
        <w:t>Overview of the allotments in the Plan (August 2011)</w:t>
      </w:r>
    </w:p>
    <w:tbl>
      <w:tblPr>
        <w:tblW w:w="0" w:type="auto"/>
        <w:tblBorders>
          <w:top w:val="single" w:sz="4" w:space="0" w:color="D2232A"/>
          <w:left w:val="single" w:sz="4" w:space="0" w:color="D2232A"/>
          <w:bottom w:val="single" w:sz="4" w:space="0" w:color="D2232A"/>
          <w:right w:val="single" w:sz="4" w:space="0" w:color="D2232A"/>
          <w:insideH w:val="single" w:sz="6" w:space="0" w:color="D2232A"/>
          <w:insideV w:val="single" w:sz="6" w:space="0" w:color="D2232A"/>
        </w:tblBorders>
        <w:tblCellMar>
          <w:top w:w="11" w:type="dxa"/>
          <w:bottom w:w="11" w:type="dxa"/>
        </w:tblCellMar>
        <w:tblLook w:val="01E0" w:firstRow="1" w:lastRow="1" w:firstColumn="1" w:lastColumn="1" w:noHBand="0" w:noVBand="0"/>
      </w:tblPr>
      <w:tblGrid>
        <w:gridCol w:w="3085"/>
        <w:gridCol w:w="1900"/>
        <w:gridCol w:w="44"/>
        <w:gridCol w:w="1742"/>
        <w:gridCol w:w="2126"/>
        <w:gridCol w:w="958"/>
      </w:tblGrid>
      <w:tr w:rsidR="00C76E5B" w:rsidRPr="00FE1795" w:rsidTr="00596D5D">
        <w:trPr>
          <w:tblHeader/>
        </w:trPr>
        <w:tc>
          <w:tcPr>
            <w:tcW w:w="3085" w:type="dxa"/>
            <w:tcBorders>
              <w:top w:val="single" w:sz="4" w:space="0" w:color="D2232A"/>
              <w:bottom w:val="single" w:sz="6" w:space="0" w:color="D2232A"/>
              <w:right w:val="single" w:sz="6" w:space="0" w:color="FFFFFF" w:themeColor="background1"/>
            </w:tcBorders>
            <w:shd w:val="clear" w:color="auto" w:fill="D2232A"/>
            <w:vAlign w:val="center"/>
          </w:tcPr>
          <w:p w:rsidR="00C76E5B" w:rsidRPr="00C76E5B" w:rsidRDefault="00C76E5B" w:rsidP="00C76E5B">
            <w:pPr>
              <w:spacing w:line="288" w:lineRule="auto"/>
              <w:jc w:val="center"/>
              <w:rPr>
                <w:b/>
                <w:color w:val="FFFFFF" w:themeColor="background1"/>
              </w:rPr>
            </w:pPr>
            <w:r>
              <w:rPr>
                <w:b/>
                <w:color w:val="FFFFFF"/>
              </w:rPr>
              <w:t>Country</w:t>
            </w:r>
            <w:r w:rsidRPr="00FE1795">
              <w:rPr>
                <w:b/>
                <w:color w:val="FFFFFF"/>
              </w:rPr>
              <w:t xml:space="preserve"> </w:t>
            </w:r>
          </w:p>
        </w:tc>
        <w:tc>
          <w:tcPr>
            <w:tcW w:w="1944" w:type="dxa"/>
            <w:gridSpan w:val="2"/>
            <w:tcBorders>
              <w:top w:val="single" w:sz="4" w:space="0" w:color="D2232A"/>
              <w:left w:val="single" w:sz="6" w:space="0" w:color="FFFFFF" w:themeColor="background1"/>
              <w:bottom w:val="single" w:sz="6" w:space="0" w:color="D2232A"/>
              <w:right w:val="single" w:sz="6" w:space="0" w:color="FFFFFF" w:themeColor="background1"/>
            </w:tcBorders>
            <w:shd w:val="clear" w:color="auto" w:fill="D2232A"/>
            <w:vAlign w:val="center"/>
          </w:tcPr>
          <w:p w:rsidR="00C76E5B" w:rsidRPr="00C76E5B" w:rsidRDefault="00C76E5B" w:rsidP="00A81711">
            <w:pPr>
              <w:spacing w:line="288" w:lineRule="auto"/>
              <w:jc w:val="center"/>
              <w:rPr>
                <w:b/>
                <w:color w:val="FFFFFF" w:themeColor="background1"/>
              </w:rPr>
            </w:pPr>
            <w:r w:rsidRPr="00C76E5B">
              <w:rPr>
                <w:b/>
                <w:bCs/>
                <w:color w:val="FFFFFF" w:themeColor="background1"/>
                <w:lang w:eastAsia="da-DK"/>
              </w:rPr>
              <w:t xml:space="preserve">Allotment in </w:t>
            </w:r>
            <w:r w:rsidR="00596D5D">
              <w:rPr>
                <w:b/>
                <w:bCs/>
                <w:color w:val="FFFFFF" w:themeColor="background1"/>
                <w:lang w:eastAsia="da-DK"/>
              </w:rPr>
              <w:br/>
            </w:r>
            <w:r w:rsidRPr="00C76E5B">
              <w:rPr>
                <w:b/>
                <w:bCs/>
                <w:color w:val="FFFFFF" w:themeColor="background1"/>
                <w:lang w:eastAsia="da-DK"/>
              </w:rPr>
              <w:t>Part 1</w:t>
            </w:r>
            <w:r w:rsidRPr="00C76E5B">
              <w:rPr>
                <w:rStyle w:val="Appelnotedebasdep"/>
                <w:b/>
                <w:bCs/>
                <w:color w:val="FFFFFF" w:themeColor="background1"/>
                <w:lang w:eastAsia="da-DK"/>
              </w:rPr>
              <w:footnoteReference w:id="26"/>
            </w:r>
          </w:p>
        </w:tc>
        <w:tc>
          <w:tcPr>
            <w:tcW w:w="1742" w:type="dxa"/>
            <w:tcBorders>
              <w:top w:val="single" w:sz="4" w:space="0" w:color="D2232A"/>
              <w:left w:val="single" w:sz="6" w:space="0" w:color="FFFFFF" w:themeColor="background1"/>
              <w:bottom w:val="single" w:sz="6" w:space="0" w:color="D2232A"/>
              <w:right w:val="single" w:sz="6" w:space="0" w:color="FFFFFF" w:themeColor="background1"/>
            </w:tcBorders>
            <w:shd w:val="clear" w:color="auto" w:fill="D2232A"/>
            <w:vAlign w:val="center"/>
          </w:tcPr>
          <w:p w:rsidR="00C76E5B" w:rsidRPr="00C76E5B" w:rsidRDefault="00C76E5B" w:rsidP="00A81711">
            <w:pPr>
              <w:spacing w:line="288" w:lineRule="auto"/>
              <w:jc w:val="center"/>
              <w:rPr>
                <w:b/>
                <w:color w:val="FFFFFF" w:themeColor="background1"/>
              </w:rPr>
            </w:pPr>
            <w:r w:rsidRPr="00C76E5B">
              <w:rPr>
                <w:b/>
                <w:bCs/>
                <w:color w:val="FFFFFF" w:themeColor="background1"/>
                <w:lang w:eastAsia="da-DK"/>
              </w:rPr>
              <w:t>Allotment in Part 2</w:t>
            </w:r>
            <w:r w:rsidRPr="00C76E5B">
              <w:rPr>
                <w:rStyle w:val="Appelnotedebasdep"/>
                <w:b/>
                <w:bCs/>
                <w:color w:val="FFFFFF" w:themeColor="background1"/>
                <w:lang w:eastAsia="da-DK"/>
              </w:rPr>
              <w:footnoteReference w:id="27"/>
            </w:r>
          </w:p>
        </w:tc>
        <w:tc>
          <w:tcPr>
            <w:tcW w:w="2126" w:type="dxa"/>
            <w:tcBorders>
              <w:top w:val="single" w:sz="4" w:space="0" w:color="D2232A"/>
              <w:left w:val="single" w:sz="6" w:space="0" w:color="FFFFFF" w:themeColor="background1"/>
              <w:bottom w:val="single" w:sz="6" w:space="0" w:color="D2232A"/>
              <w:right w:val="single" w:sz="6" w:space="0" w:color="FFFFFF" w:themeColor="background1"/>
            </w:tcBorders>
            <w:shd w:val="clear" w:color="auto" w:fill="D2232A"/>
            <w:vAlign w:val="center"/>
          </w:tcPr>
          <w:p w:rsidR="00C76E5B" w:rsidRPr="00FE1795" w:rsidRDefault="00C76E5B" w:rsidP="00A81711">
            <w:pPr>
              <w:spacing w:line="288" w:lineRule="auto"/>
              <w:jc w:val="center"/>
              <w:rPr>
                <w:b/>
                <w:color w:val="FFFFFF"/>
              </w:rPr>
            </w:pPr>
            <w:r>
              <w:rPr>
                <w:b/>
                <w:color w:val="FFFFFF"/>
              </w:rPr>
              <w:t xml:space="preserve">Allotment in </w:t>
            </w:r>
            <w:r w:rsidR="00596D5D">
              <w:rPr>
                <w:b/>
                <w:color w:val="FFFFFF"/>
              </w:rPr>
              <w:br/>
            </w:r>
            <w:r>
              <w:rPr>
                <w:b/>
                <w:color w:val="FFFFFF"/>
              </w:rPr>
              <w:t xml:space="preserve">Part </w:t>
            </w:r>
            <w:r w:rsidRPr="00C76E5B">
              <w:rPr>
                <w:b/>
                <w:bCs/>
                <w:color w:val="FFFFFF" w:themeColor="background1"/>
                <w:lang w:eastAsia="da-DK"/>
              </w:rPr>
              <w:t>2sup</w:t>
            </w:r>
            <w:r w:rsidRPr="00C76E5B">
              <w:rPr>
                <w:rStyle w:val="Appelnotedebasdep"/>
                <w:b/>
                <w:bCs/>
                <w:color w:val="FFFFFF" w:themeColor="background1"/>
                <w:lang w:eastAsia="da-DK"/>
              </w:rPr>
              <w:footnoteReference w:id="28"/>
            </w:r>
          </w:p>
        </w:tc>
        <w:tc>
          <w:tcPr>
            <w:tcW w:w="958" w:type="dxa"/>
            <w:tcBorders>
              <w:top w:val="single" w:sz="4" w:space="0" w:color="D2232A"/>
              <w:left w:val="single" w:sz="6" w:space="0" w:color="FFFFFF" w:themeColor="background1"/>
              <w:bottom w:val="single" w:sz="6" w:space="0" w:color="D2232A"/>
            </w:tcBorders>
            <w:shd w:val="clear" w:color="auto" w:fill="D2232A"/>
            <w:vAlign w:val="center"/>
          </w:tcPr>
          <w:p w:rsidR="00C76E5B" w:rsidRPr="00FE1795" w:rsidRDefault="00C76E5B" w:rsidP="00A81711">
            <w:pPr>
              <w:spacing w:line="288" w:lineRule="auto"/>
              <w:jc w:val="center"/>
              <w:rPr>
                <w:b/>
                <w:color w:val="FFFFFF"/>
              </w:rPr>
            </w:pPr>
            <w:r>
              <w:rPr>
                <w:b/>
                <w:color w:val="FFFFFF"/>
              </w:rPr>
              <w:t>Total</w:t>
            </w:r>
          </w:p>
        </w:tc>
      </w:tr>
      <w:tr w:rsidR="003E40C0" w:rsidTr="00596D5D">
        <w:trPr>
          <w:trHeight w:val="180"/>
          <w:hidden/>
        </w:trPr>
        <w:tc>
          <w:tcPr>
            <w:tcW w:w="3085" w:type="dxa"/>
            <w:tcBorders>
              <w:top w:val="single" w:sz="6" w:space="0" w:color="D2232A"/>
            </w:tcBorders>
          </w:tcPr>
          <w:p w:rsidR="003E40C0" w:rsidRPr="003E40C0" w:rsidRDefault="003E40C0" w:rsidP="007D6842">
            <w:pPr>
              <w:rPr>
                <w:rFonts w:cs="Arial"/>
                <w:vanish/>
                <w:szCs w:val="20"/>
                <w:lang w:eastAsia="da-DK"/>
              </w:rPr>
            </w:pPr>
            <w:r w:rsidRPr="003E40C0">
              <w:rPr>
                <w:rFonts w:cs="Arial"/>
                <w:vanish/>
                <w:szCs w:val="20"/>
                <w:lang w:eastAsia="da-DK"/>
              </w:rPr>
              <w:t>Top of Form</w:t>
            </w:r>
          </w:p>
          <w:p w:rsidR="003E40C0" w:rsidRPr="003E40C0" w:rsidRDefault="00A23A71" w:rsidP="007D6842">
            <w:pPr>
              <w:rPr>
                <w:rFonts w:cs="Arial"/>
                <w:color w:val="0000FF"/>
                <w:szCs w:val="20"/>
                <w:lang w:eastAsia="da-DK"/>
              </w:rPr>
            </w:pPr>
            <w:hyperlink r:id="rId33" w:tooltip="MA02revCO07 Plan - extract for Albania" w:history="1">
              <w:r w:rsidR="003E40C0" w:rsidRPr="003E40C0">
                <w:rPr>
                  <w:rFonts w:cs="Arial"/>
                  <w:color w:val="0000FF"/>
                  <w:szCs w:val="20"/>
                  <w:lang w:eastAsia="da-DK"/>
                </w:rPr>
                <w:t>Albania</w:t>
              </w:r>
            </w:hyperlink>
            <w:r w:rsidR="003E40C0" w:rsidRPr="003E40C0">
              <w:rPr>
                <w:rFonts w:cs="Arial"/>
                <w:color w:val="0000FF"/>
                <w:szCs w:val="20"/>
                <w:lang w:eastAsia="da-DK"/>
              </w:rPr>
              <w:t xml:space="preserve"> </w:t>
            </w:r>
          </w:p>
          <w:p w:rsidR="003E40C0" w:rsidRPr="001807EA" w:rsidRDefault="003E40C0" w:rsidP="007D6842">
            <w:pPr>
              <w:rPr>
                <w:color w:val="0000FF"/>
                <w:lang w:eastAsia="da-DK"/>
              </w:rPr>
            </w:pPr>
            <w:r w:rsidRPr="003E40C0">
              <w:rPr>
                <w:rFonts w:cs="Arial"/>
                <w:vanish/>
                <w:szCs w:val="20"/>
                <w:lang w:eastAsia="da-DK"/>
              </w:rPr>
              <w:t>Bottom of Form</w:t>
            </w:r>
          </w:p>
        </w:tc>
        <w:tc>
          <w:tcPr>
            <w:tcW w:w="1900" w:type="dxa"/>
            <w:tcBorders>
              <w:top w:val="single" w:sz="6" w:space="0" w:color="D2232A"/>
            </w:tcBorders>
          </w:tcPr>
          <w:p w:rsidR="003E40C0" w:rsidRPr="001807EA" w:rsidRDefault="003E40C0" w:rsidP="003E40C0">
            <w:pPr>
              <w:rPr>
                <w:color w:val="000000"/>
                <w:lang w:eastAsia="da-DK"/>
              </w:rPr>
            </w:pPr>
            <w:r w:rsidRPr="001807EA">
              <w:rPr>
                <w:color w:val="000000"/>
                <w:lang w:eastAsia="da-DK"/>
              </w:rPr>
              <w:t>0</w:t>
            </w:r>
          </w:p>
        </w:tc>
        <w:tc>
          <w:tcPr>
            <w:tcW w:w="1786" w:type="dxa"/>
            <w:gridSpan w:val="2"/>
            <w:tcBorders>
              <w:top w:val="single" w:sz="6" w:space="0" w:color="D2232A"/>
            </w:tcBorders>
          </w:tcPr>
          <w:p w:rsidR="003E40C0" w:rsidRPr="001807EA" w:rsidRDefault="003E40C0" w:rsidP="003E40C0">
            <w:pPr>
              <w:rPr>
                <w:color w:val="000000"/>
                <w:lang w:eastAsia="da-DK"/>
              </w:rPr>
            </w:pPr>
            <w:r w:rsidRPr="001807EA">
              <w:rPr>
                <w:color w:val="000000"/>
                <w:lang w:eastAsia="da-DK"/>
              </w:rPr>
              <w:t>2</w:t>
            </w:r>
          </w:p>
        </w:tc>
        <w:tc>
          <w:tcPr>
            <w:tcW w:w="2126" w:type="dxa"/>
            <w:tcBorders>
              <w:top w:val="single" w:sz="6" w:space="0" w:color="D2232A"/>
            </w:tcBorders>
          </w:tcPr>
          <w:p w:rsidR="003E40C0" w:rsidRPr="001807EA" w:rsidRDefault="003E40C0" w:rsidP="003E40C0">
            <w:pPr>
              <w:rPr>
                <w:color w:val="000000"/>
                <w:lang w:eastAsia="da-DK"/>
              </w:rPr>
            </w:pPr>
            <w:r w:rsidRPr="001807EA">
              <w:rPr>
                <w:color w:val="000000"/>
                <w:lang w:eastAsia="da-DK"/>
              </w:rPr>
              <w:t>0</w:t>
            </w:r>
          </w:p>
        </w:tc>
        <w:tc>
          <w:tcPr>
            <w:tcW w:w="958" w:type="dxa"/>
            <w:tcBorders>
              <w:top w:val="single" w:sz="6" w:space="0" w:color="D2232A"/>
            </w:tcBorders>
          </w:tcPr>
          <w:p w:rsidR="003E40C0" w:rsidRPr="001807EA" w:rsidRDefault="003E40C0" w:rsidP="003E40C0">
            <w:pPr>
              <w:rPr>
                <w:color w:val="000000"/>
                <w:lang w:eastAsia="da-DK"/>
              </w:rPr>
            </w:pPr>
            <w:r w:rsidRPr="001807EA">
              <w:rPr>
                <w:color w:val="000000"/>
                <w:lang w:eastAsia="da-DK"/>
              </w:rPr>
              <w:t>2</w:t>
            </w:r>
          </w:p>
        </w:tc>
      </w:tr>
      <w:tr w:rsidR="003E40C0" w:rsidTr="00596D5D">
        <w:trPr>
          <w:trHeight w:val="180"/>
          <w:hidden/>
        </w:trPr>
        <w:tc>
          <w:tcPr>
            <w:tcW w:w="3085" w:type="dxa"/>
          </w:tcPr>
          <w:p w:rsidR="003E40C0" w:rsidRPr="001807EA" w:rsidRDefault="003E40C0" w:rsidP="003E40C0">
            <w:pPr>
              <w:rPr>
                <w:vanish/>
                <w:lang w:eastAsia="da-DK"/>
              </w:rPr>
            </w:pPr>
            <w:r w:rsidRPr="001807EA">
              <w:rPr>
                <w:vanish/>
                <w:lang w:eastAsia="da-DK"/>
              </w:rPr>
              <w:t>Top of Form</w:t>
            </w:r>
          </w:p>
          <w:p w:rsidR="003E40C0" w:rsidRDefault="00A23A71" w:rsidP="003E40C0">
            <w:pPr>
              <w:spacing w:line="288" w:lineRule="auto"/>
              <w:rPr>
                <w:color w:val="0000FF"/>
                <w:lang w:eastAsia="da-DK"/>
              </w:rPr>
            </w:pPr>
            <w:hyperlink r:id="rId34" w:tgtFrame="_blank" w:tooltip="MA02revCO07 Plan - extract for Austria" w:history="1">
              <w:r w:rsidR="003E40C0" w:rsidRPr="001807EA">
                <w:rPr>
                  <w:color w:val="0000FF"/>
                  <w:lang w:eastAsia="da-DK"/>
                </w:rPr>
                <w:t>Austria</w:t>
              </w:r>
            </w:hyperlink>
            <w:r w:rsidR="003E40C0" w:rsidRPr="001807EA">
              <w:rPr>
                <w:color w:val="0000FF"/>
                <w:lang w:eastAsia="da-DK"/>
              </w:rPr>
              <w:t xml:space="preserve"> </w:t>
            </w:r>
          </w:p>
          <w:p w:rsidR="003E40C0" w:rsidRDefault="003E40C0" w:rsidP="003E40C0">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11</w:t>
            </w:r>
          </w:p>
        </w:tc>
        <w:tc>
          <w:tcPr>
            <w:tcW w:w="1786" w:type="dxa"/>
            <w:gridSpan w:val="2"/>
          </w:tcPr>
          <w:p w:rsidR="003E40C0" w:rsidRPr="001807EA" w:rsidRDefault="003E40C0" w:rsidP="003E40C0">
            <w:pPr>
              <w:rPr>
                <w:color w:val="000000"/>
                <w:lang w:eastAsia="da-DK"/>
              </w:rPr>
            </w:pPr>
            <w:r w:rsidRPr="001807EA">
              <w:rPr>
                <w:color w:val="000000"/>
                <w:lang w:eastAsia="da-DK"/>
              </w:rPr>
              <w:t>43</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54</w:t>
            </w:r>
          </w:p>
        </w:tc>
      </w:tr>
      <w:tr w:rsidR="003E40C0" w:rsidTr="00596D5D">
        <w:trPr>
          <w:trHeight w:val="718"/>
          <w:hidden/>
        </w:trPr>
        <w:tc>
          <w:tcPr>
            <w:tcW w:w="3085" w:type="dxa"/>
            <w:vAlign w:val="center"/>
          </w:tcPr>
          <w:p w:rsidR="003E40C0" w:rsidRDefault="003E40C0" w:rsidP="00C76E5B">
            <w:pPr>
              <w:spacing w:line="288" w:lineRule="auto"/>
              <w:rPr>
                <w:vanish/>
                <w:lang w:eastAsia="da-DK"/>
              </w:rPr>
            </w:pPr>
            <w:r w:rsidRPr="001807EA">
              <w:rPr>
                <w:vanish/>
                <w:lang w:eastAsia="da-DK"/>
              </w:rPr>
              <w:t>Top of Form</w:t>
            </w:r>
          </w:p>
          <w:p w:rsidR="003E40C0" w:rsidRDefault="00A23A71" w:rsidP="00C76E5B">
            <w:pPr>
              <w:spacing w:line="288" w:lineRule="auto"/>
              <w:rPr>
                <w:color w:val="0000FF"/>
                <w:lang w:eastAsia="da-DK"/>
              </w:rPr>
            </w:pPr>
            <w:hyperlink r:id="rId35" w:tgtFrame="_blank" w:tooltip="MA02revCO07 Plan - extract for Belgium" w:history="1">
              <w:r w:rsidR="003E40C0" w:rsidRPr="001807EA">
                <w:rPr>
                  <w:color w:val="0000FF"/>
                  <w:lang w:eastAsia="da-DK"/>
                </w:rPr>
                <w:t>Belgium</w:t>
              </w:r>
            </w:hyperlink>
          </w:p>
          <w:p w:rsidR="003E40C0" w:rsidRDefault="003E40C0" w:rsidP="00C76E5B">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6</w:t>
            </w:r>
          </w:p>
        </w:tc>
        <w:tc>
          <w:tcPr>
            <w:tcW w:w="1786" w:type="dxa"/>
            <w:gridSpan w:val="2"/>
          </w:tcPr>
          <w:p w:rsidR="003E40C0" w:rsidRPr="001807EA" w:rsidRDefault="003E40C0" w:rsidP="003E40C0">
            <w:pPr>
              <w:rPr>
                <w:color w:val="000000"/>
                <w:lang w:eastAsia="da-DK"/>
              </w:rPr>
            </w:pPr>
            <w:r w:rsidRPr="001807EA">
              <w:rPr>
                <w:color w:val="000000"/>
                <w:lang w:eastAsia="da-DK"/>
              </w:rPr>
              <w:t>11</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17</w:t>
            </w:r>
          </w:p>
        </w:tc>
      </w:tr>
      <w:tr w:rsidR="003E40C0" w:rsidTr="00596D5D">
        <w:trPr>
          <w:trHeight w:val="180"/>
          <w:hidden/>
        </w:trPr>
        <w:tc>
          <w:tcPr>
            <w:tcW w:w="3085" w:type="dxa"/>
            <w:vAlign w:val="center"/>
          </w:tcPr>
          <w:p w:rsidR="003E40C0" w:rsidRDefault="003E40C0" w:rsidP="00C76E5B">
            <w:pPr>
              <w:spacing w:line="288" w:lineRule="auto"/>
              <w:rPr>
                <w:vanish/>
                <w:lang w:eastAsia="da-DK"/>
              </w:rPr>
            </w:pPr>
            <w:r w:rsidRPr="001807EA">
              <w:rPr>
                <w:vanish/>
                <w:lang w:eastAsia="da-DK"/>
              </w:rPr>
              <w:t>Top of Form</w:t>
            </w:r>
          </w:p>
          <w:p w:rsidR="003E40C0" w:rsidRDefault="00A23A71" w:rsidP="00C76E5B">
            <w:pPr>
              <w:spacing w:line="288" w:lineRule="auto"/>
              <w:rPr>
                <w:color w:val="0000FF"/>
                <w:lang w:eastAsia="da-DK"/>
              </w:rPr>
            </w:pPr>
            <w:hyperlink r:id="rId36" w:tgtFrame="_blank" w:tooltip="MA02revCO07 Plan - extract for Bosnia &amp; Herzegovina" w:history="1">
              <w:r w:rsidR="003E40C0" w:rsidRPr="001807EA">
                <w:rPr>
                  <w:color w:val="0000FF"/>
                  <w:lang w:eastAsia="da-DK"/>
                </w:rPr>
                <w:t>Bosnia &amp; Herzegovina</w:t>
              </w:r>
            </w:hyperlink>
          </w:p>
          <w:p w:rsidR="003E40C0" w:rsidRDefault="003E40C0" w:rsidP="00C76E5B">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0</w:t>
            </w:r>
          </w:p>
        </w:tc>
        <w:tc>
          <w:tcPr>
            <w:tcW w:w="1786" w:type="dxa"/>
            <w:gridSpan w:val="2"/>
          </w:tcPr>
          <w:p w:rsidR="003E40C0" w:rsidRPr="001807EA" w:rsidRDefault="003E40C0" w:rsidP="003E40C0">
            <w:pPr>
              <w:rPr>
                <w:color w:val="000000"/>
                <w:lang w:eastAsia="da-DK"/>
              </w:rPr>
            </w:pPr>
            <w:r w:rsidRPr="001807EA">
              <w:rPr>
                <w:color w:val="000000"/>
                <w:lang w:eastAsia="da-DK"/>
              </w:rPr>
              <w:t>2</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2</w:t>
            </w:r>
          </w:p>
        </w:tc>
      </w:tr>
      <w:tr w:rsidR="003E40C0" w:rsidTr="00596D5D">
        <w:trPr>
          <w:trHeight w:val="180"/>
          <w:hidden/>
        </w:trPr>
        <w:tc>
          <w:tcPr>
            <w:tcW w:w="3085" w:type="dxa"/>
            <w:vAlign w:val="center"/>
          </w:tcPr>
          <w:p w:rsidR="003E40C0" w:rsidRDefault="003E40C0" w:rsidP="003E40C0">
            <w:pPr>
              <w:spacing w:line="288" w:lineRule="auto"/>
              <w:rPr>
                <w:vanish/>
                <w:lang w:eastAsia="da-DK"/>
              </w:rPr>
            </w:pPr>
            <w:r w:rsidRPr="001807EA">
              <w:rPr>
                <w:vanish/>
                <w:lang w:eastAsia="da-DK"/>
              </w:rPr>
              <w:t>Top of Form</w:t>
            </w:r>
          </w:p>
          <w:p w:rsidR="003E40C0" w:rsidRDefault="00A23A71" w:rsidP="003E40C0">
            <w:pPr>
              <w:spacing w:line="288" w:lineRule="auto"/>
            </w:pPr>
            <w:hyperlink r:id="rId37" w:tgtFrame="_blank" w:tooltip="MA02revCO07 Plan - extract for Bulgaria" w:history="1">
              <w:r w:rsidR="003E40C0" w:rsidRPr="001807EA">
                <w:rPr>
                  <w:color w:val="0000FF"/>
                  <w:lang w:eastAsia="da-DK"/>
                </w:rPr>
                <w:t>Bulgaria</w:t>
              </w:r>
            </w:hyperlink>
          </w:p>
          <w:p w:rsidR="003E40C0" w:rsidRDefault="003E40C0" w:rsidP="003E40C0">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8</w:t>
            </w:r>
          </w:p>
        </w:tc>
        <w:tc>
          <w:tcPr>
            <w:tcW w:w="1786" w:type="dxa"/>
            <w:gridSpan w:val="2"/>
          </w:tcPr>
          <w:p w:rsidR="003E40C0" w:rsidRPr="001807EA" w:rsidRDefault="003E40C0" w:rsidP="003E40C0">
            <w:pPr>
              <w:rPr>
                <w:color w:val="000000"/>
                <w:lang w:eastAsia="da-DK"/>
              </w:rPr>
            </w:pPr>
            <w:r w:rsidRPr="001807EA">
              <w:rPr>
                <w:color w:val="000000"/>
                <w:lang w:eastAsia="da-DK"/>
              </w:rPr>
              <w:t>14</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22</w:t>
            </w:r>
          </w:p>
        </w:tc>
      </w:tr>
      <w:tr w:rsidR="003E40C0" w:rsidTr="00596D5D">
        <w:trPr>
          <w:trHeight w:val="670"/>
          <w:hidden/>
        </w:trPr>
        <w:tc>
          <w:tcPr>
            <w:tcW w:w="3085" w:type="dxa"/>
            <w:vAlign w:val="center"/>
          </w:tcPr>
          <w:p w:rsidR="003E40C0" w:rsidRDefault="003E40C0" w:rsidP="00C76E5B">
            <w:pPr>
              <w:spacing w:line="288" w:lineRule="auto"/>
              <w:rPr>
                <w:vanish/>
                <w:lang w:eastAsia="da-DK"/>
              </w:rPr>
            </w:pPr>
            <w:r w:rsidRPr="001807EA">
              <w:rPr>
                <w:vanish/>
                <w:lang w:eastAsia="da-DK"/>
              </w:rPr>
              <w:t>Top of Form</w:t>
            </w:r>
          </w:p>
          <w:p w:rsidR="003E40C0" w:rsidRDefault="00A23A71" w:rsidP="00C76E5B">
            <w:pPr>
              <w:spacing w:line="288" w:lineRule="auto"/>
              <w:rPr>
                <w:color w:val="0000FF"/>
                <w:lang w:eastAsia="da-DK"/>
              </w:rPr>
            </w:pPr>
            <w:hyperlink r:id="rId38" w:tgtFrame="_blank" w:tooltip="MA02revCO07 Plan - extract for Croatia" w:history="1">
              <w:r w:rsidR="003E40C0" w:rsidRPr="001807EA">
                <w:rPr>
                  <w:color w:val="0000FF"/>
                  <w:lang w:eastAsia="da-DK"/>
                </w:rPr>
                <w:t>Croatia</w:t>
              </w:r>
            </w:hyperlink>
          </w:p>
          <w:p w:rsidR="003E40C0" w:rsidRDefault="003E40C0" w:rsidP="00C76E5B">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11</w:t>
            </w:r>
          </w:p>
        </w:tc>
        <w:tc>
          <w:tcPr>
            <w:tcW w:w="1786" w:type="dxa"/>
            <w:gridSpan w:val="2"/>
          </w:tcPr>
          <w:p w:rsidR="003E40C0" w:rsidRPr="001807EA" w:rsidRDefault="003E40C0" w:rsidP="003E40C0">
            <w:pPr>
              <w:rPr>
                <w:color w:val="000000"/>
                <w:lang w:eastAsia="da-DK"/>
              </w:rPr>
            </w:pPr>
            <w:r w:rsidRPr="001807EA">
              <w:rPr>
                <w:color w:val="000000"/>
                <w:lang w:eastAsia="da-DK"/>
              </w:rPr>
              <w:t>22</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33</w:t>
            </w:r>
          </w:p>
        </w:tc>
      </w:tr>
      <w:tr w:rsidR="003E40C0" w:rsidTr="00596D5D">
        <w:trPr>
          <w:trHeight w:val="180"/>
          <w:hidden/>
        </w:trPr>
        <w:tc>
          <w:tcPr>
            <w:tcW w:w="3085" w:type="dxa"/>
            <w:vAlign w:val="center"/>
          </w:tcPr>
          <w:p w:rsidR="003E40C0" w:rsidRDefault="003E40C0" w:rsidP="003E40C0">
            <w:pPr>
              <w:spacing w:line="288" w:lineRule="auto"/>
              <w:rPr>
                <w:vanish/>
                <w:lang w:eastAsia="da-DK"/>
              </w:rPr>
            </w:pPr>
            <w:r w:rsidRPr="001807EA">
              <w:rPr>
                <w:vanish/>
                <w:lang w:eastAsia="da-DK"/>
              </w:rPr>
              <w:t>Top of Form</w:t>
            </w:r>
          </w:p>
          <w:p w:rsidR="003E40C0" w:rsidRDefault="00A23A71" w:rsidP="00C76E5B">
            <w:pPr>
              <w:spacing w:line="288" w:lineRule="auto"/>
              <w:rPr>
                <w:vanish/>
                <w:lang w:eastAsia="da-DK"/>
              </w:rPr>
            </w:pPr>
            <w:hyperlink r:id="rId39" w:tgtFrame="_blank" w:tooltip="MA02revCO07 Plan - extract for Czech Republic" w:history="1">
              <w:r w:rsidR="002B2B80" w:rsidRPr="001807EA">
                <w:rPr>
                  <w:color w:val="0000FF"/>
                  <w:lang w:eastAsia="da-DK"/>
                </w:rPr>
                <w:t>Czech Republic</w:t>
              </w:r>
            </w:hyperlink>
          </w:p>
          <w:p w:rsidR="003E40C0" w:rsidRDefault="003E40C0" w:rsidP="00C76E5B">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1</w:t>
            </w:r>
          </w:p>
        </w:tc>
        <w:tc>
          <w:tcPr>
            <w:tcW w:w="1786" w:type="dxa"/>
            <w:gridSpan w:val="2"/>
          </w:tcPr>
          <w:p w:rsidR="003E40C0" w:rsidRPr="001807EA" w:rsidRDefault="003E40C0" w:rsidP="003E40C0">
            <w:pPr>
              <w:rPr>
                <w:color w:val="000000"/>
                <w:lang w:eastAsia="da-DK"/>
              </w:rPr>
            </w:pPr>
            <w:r w:rsidRPr="001807EA">
              <w:rPr>
                <w:color w:val="000000"/>
                <w:lang w:eastAsia="da-DK"/>
              </w:rPr>
              <w:t>26</w:t>
            </w:r>
          </w:p>
        </w:tc>
        <w:tc>
          <w:tcPr>
            <w:tcW w:w="2126" w:type="dxa"/>
          </w:tcPr>
          <w:p w:rsidR="003E40C0" w:rsidRPr="001807EA" w:rsidRDefault="003E40C0" w:rsidP="003E40C0">
            <w:pPr>
              <w:rPr>
                <w:color w:val="000000"/>
                <w:lang w:eastAsia="da-DK"/>
              </w:rPr>
            </w:pPr>
            <w:r w:rsidRPr="001807EA">
              <w:rPr>
                <w:color w:val="000000"/>
                <w:lang w:eastAsia="da-DK"/>
              </w:rPr>
              <w:t>1</w:t>
            </w:r>
          </w:p>
        </w:tc>
        <w:tc>
          <w:tcPr>
            <w:tcW w:w="958" w:type="dxa"/>
          </w:tcPr>
          <w:p w:rsidR="003E40C0" w:rsidRPr="001807EA" w:rsidRDefault="003E40C0" w:rsidP="003E40C0">
            <w:pPr>
              <w:rPr>
                <w:color w:val="000000"/>
                <w:lang w:eastAsia="da-DK"/>
              </w:rPr>
            </w:pPr>
            <w:r w:rsidRPr="001807EA">
              <w:rPr>
                <w:color w:val="000000"/>
                <w:lang w:eastAsia="da-DK"/>
              </w:rPr>
              <w:t>28</w:t>
            </w:r>
          </w:p>
        </w:tc>
      </w:tr>
      <w:tr w:rsidR="003E40C0" w:rsidTr="00596D5D">
        <w:trPr>
          <w:trHeight w:val="180"/>
          <w:hidden/>
        </w:trPr>
        <w:tc>
          <w:tcPr>
            <w:tcW w:w="3085" w:type="dxa"/>
            <w:vAlign w:val="center"/>
          </w:tcPr>
          <w:p w:rsidR="002B2B80" w:rsidRDefault="002B2B80" w:rsidP="00C76E5B">
            <w:pPr>
              <w:spacing w:line="288" w:lineRule="auto"/>
            </w:pPr>
            <w:r w:rsidRPr="001807EA">
              <w:rPr>
                <w:vanish/>
                <w:lang w:eastAsia="da-DK"/>
              </w:rPr>
              <w:t>Top of Form</w:t>
            </w:r>
          </w:p>
          <w:p w:rsidR="003E40C0" w:rsidRDefault="00A23A71" w:rsidP="00C76E5B">
            <w:pPr>
              <w:spacing w:line="288" w:lineRule="auto"/>
              <w:rPr>
                <w:vanish/>
                <w:lang w:eastAsia="da-DK"/>
              </w:rPr>
            </w:pPr>
            <w:hyperlink r:id="rId40" w:tgtFrame="_blank" w:tooltip="MA02revCO07 Plan - extract for Denmark" w:history="1">
              <w:r w:rsidR="002B2B80" w:rsidRPr="001807EA">
                <w:rPr>
                  <w:color w:val="0000FF"/>
                  <w:lang w:eastAsia="da-DK"/>
                </w:rPr>
                <w:t>Denmark</w:t>
              </w:r>
            </w:hyperlink>
          </w:p>
          <w:p w:rsidR="003E40C0" w:rsidRDefault="003E40C0" w:rsidP="00C76E5B">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0</w:t>
            </w:r>
          </w:p>
        </w:tc>
        <w:tc>
          <w:tcPr>
            <w:tcW w:w="1786" w:type="dxa"/>
            <w:gridSpan w:val="2"/>
          </w:tcPr>
          <w:p w:rsidR="003E40C0" w:rsidRPr="001807EA" w:rsidRDefault="003E40C0" w:rsidP="003E40C0">
            <w:pPr>
              <w:rPr>
                <w:color w:val="000000"/>
                <w:lang w:eastAsia="da-DK"/>
              </w:rPr>
            </w:pPr>
            <w:r w:rsidRPr="001807EA">
              <w:rPr>
                <w:color w:val="000000"/>
                <w:lang w:eastAsia="da-DK"/>
              </w:rPr>
              <w:t>41</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41</w:t>
            </w:r>
          </w:p>
        </w:tc>
      </w:tr>
      <w:tr w:rsidR="003E40C0" w:rsidTr="00596D5D">
        <w:trPr>
          <w:trHeight w:val="180"/>
          <w:hidden/>
        </w:trPr>
        <w:tc>
          <w:tcPr>
            <w:tcW w:w="3085" w:type="dxa"/>
            <w:vAlign w:val="center"/>
          </w:tcPr>
          <w:p w:rsidR="002B2B80" w:rsidRDefault="002B2B80" w:rsidP="002B2B80">
            <w:pPr>
              <w:spacing w:line="288" w:lineRule="auto"/>
              <w:rPr>
                <w:vanish/>
                <w:lang w:eastAsia="da-DK"/>
              </w:rPr>
            </w:pPr>
            <w:r w:rsidRPr="001807EA">
              <w:rPr>
                <w:vanish/>
                <w:lang w:eastAsia="da-DK"/>
              </w:rPr>
              <w:t>Top of Form</w:t>
            </w:r>
          </w:p>
          <w:p w:rsidR="003E40C0" w:rsidRDefault="00A23A71" w:rsidP="00C76E5B">
            <w:pPr>
              <w:spacing w:line="288" w:lineRule="auto"/>
            </w:pPr>
            <w:hyperlink r:id="rId41" w:tgtFrame="_blank" w:tooltip="MA02revCO07 Plan - extract for Estonia" w:history="1">
              <w:r w:rsidR="002B2B80" w:rsidRPr="001807EA">
                <w:rPr>
                  <w:color w:val="0000FF"/>
                  <w:lang w:eastAsia="da-DK"/>
                </w:rPr>
                <w:t>Estonia</w:t>
              </w:r>
            </w:hyperlink>
          </w:p>
          <w:p w:rsidR="003E40C0" w:rsidRDefault="003E40C0" w:rsidP="00C76E5B">
            <w:pPr>
              <w:spacing w:line="288" w:lineRule="auto"/>
            </w:pPr>
            <w:r w:rsidRPr="001807EA">
              <w:rPr>
                <w:vanish/>
                <w:lang w:eastAsia="da-DK"/>
              </w:rPr>
              <w:t>Bottom of Form</w:t>
            </w:r>
          </w:p>
        </w:tc>
        <w:tc>
          <w:tcPr>
            <w:tcW w:w="1900" w:type="dxa"/>
          </w:tcPr>
          <w:p w:rsidR="003E40C0" w:rsidRPr="001807EA" w:rsidRDefault="003E40C0" w:rsidP="003E40C0">
            <w:pPr>
              <w:rPr>
                <w:color w:val="000000"/>
                <w:lang w:eastAsia="da-DK"/>
              </w:rPr>
            </w:pPr>
            <w:r w:rsidRPr="001807EA">
              <w:rPr>
                <w:color w:val="000000"/>
                <w:lang w:eastAsia="da-DK"/>
              </w:rPr>
              <w:t>4</w:t>
            </w:r>
          </w:p>
        </w:tc>
        <w:tc>
          <w:tcPr>
            <w:tcW w:w="1786" w:type="dxa"/>
            <w:gridSpan w:val="2"/>
          </w:tcPr>
          <w:p w:rsidR="003E40C0" w:rsidRPr="001807EA" w:rsidRDefault="003E40C0" w:rsidP="003E40C0">
            <w:pPr>
              <w:rPr>
                <w:color w:val="000000"/>
                <w:lang w:eastAsia="da-DK"/>
              </w:rPr>
            </w:pPr>
            <w:r w:rsidRPr="001807EA">
              <w:rPr>
                <w:color w:val="000000"/>
                <w:lang w:eastAsia="da-DK"/>
              </w:rPr>
              <w:t>4</w:t>
            </w:r>
          </w:p>
        </w:tc>
        <w:tc>
          <w:tcPr>
            <w:tcW w:w="2126" w:type="dxa"/>
          </w:tcPr>
          <w:p w:rsidR="003E40C0" w:rsidRPr="001807EA" w:rsidRDefault="003E40C0" w:rsidP="003E40C0">
            <w:pPr>
              <w:rPr>
                <w:color w:val="000000"/>
                <w:lang w:eastAsia="da-DK"/>
              </w:rPr>
            </w:pPr>
            <w:r w:rsidRPr="001807EA">
              <w:rPr>
                <w:color w:val="000000"/>
                <w:lang w:eastAsia="da-DK"/>
              </w:rPr>
              <w:t>0</w:t>
            </w:r>
          </w:p>
        </w:tc>
        <w:tc>
          <w:tcPr>
            <w:tcW w:w="958" w:type="dxa"/>
          </w:tcPr>
          <w:p w:rsidR="003E40C0" w:rsidRPr="001807EA" w:rsidRDefault="003E40C0" w:rsidP="003E40C0">
            <w:pPr>
              <w:rPr>
                <w:color w:val="000000"/>
                <w:lang w:eastAsia="da-DK"/>
              </w:rPr>
            </w:pPr>
            <w:r w:rsidRPr="001807EA">
              <w:rPr>
                <w:color w:val="000000"/>
                <w:lang w:eastAsia="da-DK"/>
              </w:rPr>
              <w:t>8</w:t>
            </w:r>
          </w:p>
        </w:tc>
      </w:tr>
      <w:tr w:rsidR="00596D5D" w:rsidTr="00596D5D">
        <w:trPr>
          <w:trHeight w:val="180"/>
          <w:hidden/>
        </w:trPr>
        <w:tc>
          <w:tcPr>
            <w:tcW w:w="3085" w:type="dxa"/>
            <w:vAlign w:val="center"/>
          </w:tcPr>
          <w:p w:rsidR="00596D5D" w:rsidRDefault="00596D5D" w:rsidP="00C76E5B">
            <w:pPr>
              <w:spacing w:line="288" w:lineRule="auto"/>
              <w:rPr>
                <w:vanish/>
                <w:lang w:eastAsia="da-DK"/>
              </w:rPr>
            </w:pPr>
            <w:r w:rsidRPr="001807EA">
              <w:rPr>
                <w:vanish/>
                <w:lang w:eastAsia="da-DK"/>
              </w:rPr>
              <w:t>Top of Form</w:t>
            </w:r>
          </w:p>
          <w:p w:rsidR="00596D5D" w:rsidRDefault="00A23A71" w:rsidP="00C76E5B">
            <w:pPr>
              <w:spacing w:line="288" w:lineRule="auto"/>
              <w:rPr>
                <w:vanish/>
                <w:lang w:eastAsia="da-DK"/>
              </w:rPr>
            </w:pPr>
            <w:hyperlink r:id="rId42" w:tgtFrame="_blank" w:tooltip="MA02revCO07 Plan - extract for Finland" w:history="1">
              <w:r w:rsidR="00596D5D" w:rsidRPr="001807EA">
                <w:rPr>
                  <w:color w:val="0000FF"/>
                  <w:lang w:eastAsia="da-DK"/>
                </w:rPr>
                <w:t>Finland</w:t>
              </w:r>
            </w:hyperlink>
          </w:p>
          <w:p w:rsidR="00596D5D" w:rsidRDefault="00596D5D" w:rsidP="00C76E5B">
            <w:pPr>
              <w:spacing w:line="288" w:lineRule="auto"/>
            </w:pPr>
            <w:r w:rsidRPr="001807EA">
              <w:rPr>
                <w:vanish/>
                <w:lang w:eastAsia="da-DK"/>
              </w:rPr>
              <w:t>Bottom of Form</w:t>
            </w:r>
          </w:p>
        </w:tc>
        <w:tc>
          <w:tcPr>
            <w:tcW w:w="1900" w:type="dxa"/>
          </w:tcPr>
          <w:p w:rsidR="00596D5D" w:rsidRPr="001807EA" w:rsidRDefault="00596D5D" w:rsidP="00596D5D">
            <w:pPr>
              <w:rPr>
                <w:color w:val="000000"/>
                <w:lang w:eastAsia="da-DK"/>
              </w:rPr>
            </w:pPr>
            <w:r w:rsidRPr="001807EA">
              <w:rPr>
                <w:color w:val="000000"/>
                <w:lang w:eastAsia="da-DK"/>
              </w:rPr>
              <w:t>0</w:t>
            </w:r>
          </w:p>
        </w:tc>
        <w:tc>
          <w:tcPr>
            <w:tcW w:w="1786" w:type="dxa"/>
            <w:gridSpan w:val="2"/>
          </w:tcPr>
          <w:p w:rsidR="00596D5D" w:rsidRPr="001807EA" w:rsidRDefault="00596D5D" w:rsidP="00596D5D">
            <w:pPr>
              <w:rPr>
                <w:color w:val="000000"/>
                <w:lang w:eastAsia="da-DK"/>
              </w:rPr>
            </w:pPr>
            <w:r w:rsidRPr="001807EA">
              <w:rPr>
                <w:color w:val="000000"/>
                <w:lang w:eastAsia="da-DK"/>
              </w:rPr>
              <w:t>21</w:t>
            </w:r>
          </w:p>
        </w:tc>
        <w:tc>
          <w:tcPr>
            <w:tcW w:w="2126" w:type="dxa"/>
          </w:tcPr>
          <w:p w:rsidR="00596D5D" w:rsidRPr="001807EA" w:rsidRDefault="00596D5D" w:rsidP="00596D5D">
            <w:pPr>
              <w:rPr>
                <w:color w:val="000000"/>
                <w:lang w:eastAsia="da-DK"/>
              </w:rPr>
            </w:pPr>
            <w:r w:rsidRPr="001807EA">
              <w:rPr>
                <w:color w:val="000000"/>
                <w:lang w:eastAsia="da-DK"/>
              </w:rPr>
              <w:t>0</w:t>
            </w:r>
          </w:p>
        </w:tc>
        <w:tc>
          <w:tcPr>
            <w:tcW w:w="958" w:type="dxa"/>
          </w:tcPr>
          <w:p w:rsidR="00596D5D" w:rsidRPr="001807EA" w:rsidRDefault="00596D5D" w:rsidP="00596D5D">
            <w:pPr>
              <w:rPr>
                <w:color w:val="000000"/>
                <w:lang w:eastAsia="da-DK"/>
              </w:rPr>
            </w:pPr>
            <w:r w:rsidRPr="001807EA">
              <w:rPr>
                <w:color w:val="000000"/>
                <w:lang w:eastAsia="da-DK"/>
              </w:rPr>
              <w:t>21</w:t>
            </w:r>
          </w:p>
        </w:tc>
      </w:tr>
      <w:tr w:rsidR="00596D5D" w:rsidTr="00596D5D">
        <w:trPr>
          <w:trHeight w:val="180"/>
          <w:hidden/>
        </w:trPr>
        <w:tc>
          <w:tcPr>
            <w:tcW w:w="3085" w:type="dxa"/>
            <w:vAlign w:val="center"/>
          </w:tcPr>
          <w:p w:rsidR="00596D5D" w:rsidRDefault="00596D5D" w:rsidP="00C76E5B">
            <w:pPr>
              <w:spacing w:line="288" w:lineRule="auto"/>
              <w:rPr>
                <w:vanish/>
                <w:lang w:eastAsia="da-DK"/>
              </w:rPr>
            </w:pPr>
            <w:r>
              <w:rPr>
                <w:vanish/>
                <w:lang w:eastAsia="da-DK"/>
              </w:rPr>
              <w:t>Top</w:t>
            </w:r>
            <w:r w:rsidRPr="001807EA">
              <w:rPr>
                <w:vanish/>
                <w:lang w:eastAsia="da-DK"/>
              </w:rPr>
              <w:t xml:space="preserve"> of Form</w:t>
            </w:r>
          </w:p>
          <w:p w:rsidR="00596D5D" w:rsidRDefault="00A23A71" w:rsidP="00C76E5B">
            <w:pPr>
              <w:spacing w:line="288" w:lineRule="auto"/>
              <w:rPr>
                <w:vanish/>
                <w:lang w:eastAsia="da-DK"/>
              </w:rPr>
            </w:pPr>
            <w:hyperlink r:id="rId43" w:tgtFrame="_blank" w:tooltip="MA02revCO07 Plan - extract for France" w:history="1">
              <w:r w:rsidR="00596D5D" w:rsidRPr="001807EA">
                <w:rPr>
                  <w:color w:val="0000FF"/>
                  <w:lang w:eastAsia="da-DK"/>
                </w:rPr>
                <w:t>France</w:t>
              </w:r>
            </w:hyperlink>
          </w:p>
          <w:p w:rsidR="00596D5D" w:rsidRDefault="00596D5D" w:rsidP="00C76E5B">
            <w:pPr>
              <w:spacing w:line="288" w:lineRule="auto"/>
            </w:pPr>
            <w:r w:rsidRPr="001807EA">
              <w:rPr>
                <w:vanish/>
                <w:lang w:eastAsia="da-DK"/>
              </w:rPr>
              <w:t>Bottom of Form</w:t>
            </w:r>
          </w:p>
        </w:tc>
        <w:tc>
          <w:tcPr>
            <w:tcW w:w="1900" w:type="dxa"/>
          </w:tcPr>
          <w:p w:rsidR="00596D5D" w:rsidRPr="001807EA" w:rsidRDefault="00596D5D" w:rsidP="00596D5D">
            <w:pPr>
              <w:rPr>
                <w:color w:val="000000"/>
                <w:lang w:eastAsia="da-DK"/>
              </w:rPr>
            </w:pPr>
            <w:r w:rsidRPr="001807EA">
              <w:rPr>
                <w:color w:val="000000"/>
                <w:lang w:eastAsia="da-DK"/>
              </w:rPr>
              <w:t>134</w:t>
            </w:r>
          </w:p>
        </w:tc>
        <w:tc>
          <w:tcPr>
            <w:tcW w:w="1786" w:type="dxa"/>
            <w:gridSpan w:val="2"/>
          </w:tcPr>
          <w:p w:rsidR="00596D5D" w:rsidRPr="001807EA" w:rsidRDefault="00596D5D" w:rsidP="00596D5D">
            <w:pPr>
              <w:rPr>
                <w:color w:val="000000"/>
                <w:lang w:eastAsia="da-DK"/>
              </w:rPr>
            </w:pPr>
            <w:r w:rsidRPr="001807EA">
              <w:rPr>
                <w:color w:val="000000"/>
                <w:lang w:eastAsia="da-DK"/>
              </w:rPr>
              <w:t>67</w:t>
            </w:r>
          </w:p>
        </w:tc>
        <w:tc>
          <w:tcPr>
            <w:tcW w:w="2126" w:type="dxa"/>
          </w:tcPr>
          <w:p w:rsidR="00596D5D" w:rsidRPr="001807EA" w:rsidRDefault="00596D5D" w:rsidP="00596D5D">
            <w:pPr>
              <w:rPr>
                <w:color w:val="000000"/>
                <w:lang w:eastAsia="da-DK"/>
              </w:rPr>
            </w:pPr>
            <w:r w:rsidRPr="001807EA">
              <w:rPr>
                <w:color w:val="000000"/>
                <w:lang w:eastAsia="da-DK"/>
              </w:rPr>
              <w:t>0</w:t>
            </w:r>
          </w:p>
        </w:tc>
        <w:tc>
          <w:tcPr>
            <w:tcW w:w="958" w:type="dxa"/>
          </w:tcPr>
          <w:p w:rsidR="00596D5D" w:rsidRPr="001807EA" w:rsidRDefault="00596D5D" w:rsidP="00596D5D">
            <w:pPr>
              <w:rPr>
                <w:color w:val="000000"/>
                <w:lang w:eastAsia="da-DK"/>
              </w:rPr>
            </w:pPr>
            <w:r w:rsidRPr="001807EA">
              <w:rPr>
                <w:color w:val="000000"/>
                <w:lang w:eastAsia="da-DK"/>
              </w:rPr>
              <w:t>201</w:t>
            </w:r>
          </w:p>
        </w:tc>
      </w:tr>
      <w:tr w:rsidR="00596D5D" w:rsidTr="00596D5D">
        <w:trPr>
          <w:trHeight w:val="180"/>
          <w:hidden/>
        </w:trPr>
        <w:tc>
          <w:tcPr>
            <w:tcW w:w="3085" w:type="dxa"/>
            <w:vAlign w:val="center"/>
          </w:tcPr>
          <w:p w:rsidR="00596D5D" w:rsidRDefault="00596D5D" w:rsidP="00C76E5B">
            <w:pPr>
              <w:spacing w:line="288" w:lineRule="auto"/>
              <w:rPr>
                <w:vanish/>
                <w:lang w:eastAsia="da-DK"/>
              </w:rPr>
            </w:pPr>
            <w:r w:rsidRPr="001807EA">
              <w:rPr>
                <w:vanish/>
                <w:lang w:eastAsia="da-DK"/>
              </w:rPr>
              <w:t>Top of Form</w:t>
            </w:r>
          </w:p>
          <w:p w:rsidR="00596D5D" w:rsidRDefault="00A23A71" w:rsidP="00C76E5B">
            <w:pPr>
              <w:spacing w:line="288" w:lineRule="auto"/>
              <w:rPr>
                <w:vanish/>
                <w:lang w:eastAsia="da-DK"/>
              </w:rPr>
            </w:pPr>
            <w:hyperlink r:id="rId44" w:tgtFrame="_blank" w:tooltip="MA02revCO07 Plan - extract for germany" w:history="1">
              <w:r w:rsidR="00596D5D" w:rsidRPr="001807EA">
                <w:rPr>
                  <w:color w:val="0000FF"/>
                  <w:lang w:eastAsia="da-DK"/>
                </w:rPr>
                <w:t>Germany</w:t>
              </w:r>
            </w:hyperlink>
          </w:p>
          <w:p w:rsidR="00596D5D" w:rsidRDefault="00596D5D" w:rsidP="00C76E5B">
            <w:pPr>
              <w:spacing w:line="288" w:lineRule="auto"/>
            </w:pPr>
            <w:r w:rsidRPr="001807EA">
              <w:rPr>
                <w:vanish/>
                <w:lang w:eastAsia="da-DK"/>
              </w:rPr>
              <w:t>Bottom of Form</w:t>
            </w:r>
          </w:p>
        </w:tc>
        <w:tc>
          <w:tcPr>
            <w:tcW w:w="1900" w:type="dxa"/>
          </w:tcPr>
          <w:p w:rsidR="00596D5D" w:rsidRPr="001807EA" w:rsidRDefault="00596D5D" w:rsidP="00596D5D">
            <w:pPr>
              <w:rPr>
                <w:color w:val="000000"/>
                <w:lang w:eastAsia="da-DK"/>
              </w:rPr>
            </w:pPr>
            <w:r w:rsidRPr="001807EA">
              <w:rPr>
                <w:color w:val="000000"/>
                <w:lang w:eastAsia="da-DK"/>
              </w:rPr>
              <w:t>108</w:t>
            </w:r>
          </w:p>
        </w:tc>
        <w:tc>
          <w:tcPr>
            <w:tcW w:w="1786" w:type="dxa"/>
            <w:gridSpan w:val="2"/>
          </w:tcPr>
          <w:p w:rsidR="00596D5D" w:rsidRPr="001807EA" w:rsidRDefault="00596D5D" w:rsidP="00596D5D">
            <w:pPr>
              <w:rPr>
                <w:color w:val="000000"/>
                <w:lang w:eastAsia="da-DK"/>
              </w:rPr>
            </w:pPr>
            <w:r w:rsidRPr="001807EA">
              <w:rPr>
                <w:color w:val="000000"/>
                <w:lang w:eastAsia="da-DK"/>
              </w:rPr>
              <w:t>112</w:t>
            </w:r>
          </w:p>
        </w:tc>
        <w:tc>
          <w:tcPr>
            <w:tcW w:w="2126" w:type="dxa"/>
          </w:tcPr>
          <w:p w:rsidR="00596D5D" w:rsidRPr="001807EA" w:rsidRDefault="00596D5D" w:rsidP="00596D5D">
            <w:pPr>
              <w:rPr>
                <w:color w:val="000000"/>
                <w:lang w:eastAsia="da-DK"/>
              </w:rPr>
            </w:pPr>
            <w:r w:rsidRPr="001807EA">
              <w:rPr>
                <w:color w:val="000000"/>
                <w:lang w:eastAsia="da-DK"/>
              </w:rPr>
              <w:t>0</w:t>
            </w:r>
          </w:p>
        </w:tc>
        <w:tc>
          <w:tcPr>
            <w:tcW w:w="958" w:type="dxa"/>
          </w:tcPr>
          <w:p w:rsidR="00596D5D" w:rsidRPr="001807EA" w:rsidRDefault="00596D5D" w:rsidP="00596D5D">
            <w:pPr>
              <w:rPr>
                <w:color w:val="000000"/>
                <w:lang w:eastAsia="da-DK"/>
              </w:rPr>
            </w:pPr>
            <w:r w:rsidRPr="001807EA">
              <w:rPr>
                <w:color w:val="000000"/>
                <w:lang w:eastAsia="da-DK"/>
              </w:rPr>
              <w:t>220</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45" w:tgtFrame="_blank" w:tooltip="MA02revCO07 Plan - extract for Greece" w:history="1">
              <w:r w:rsidR="00596D5D" w:rsidRPr="001807EA">
                <w:rPr>
                  <w:color w:val="0000FF"/>
                  <w:lang w:eastAsia="da-DK"/>
                </w:rPr>
                <w:t>Greece</w:t>
              </w:r>
            </w:hyperlink>
          </w:p>
          <w:p w:rsidR="00596D5D" w:rsidRDefault="00596D5D" w:rsidP="002B2B80">
            <w:pPr>
              <w:spacing w:line="288" w:lineRule="auto"/>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4</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60</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64</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46" w:tgtFrame="_blank" w:tooltip="MA02revCO07 Plan - extract for Hungary" w:history="1">
              <w:r w:rsidR="00596D5D" w:rsidRPr="001807EA">
                <w:rPr>
                  <w:color w:val="0000FF"/>
                  <w:lang w:eastAsia="da-DK"/>
                </w:rPr>
                <w:t>Hungary</w:t>
              </w:r>
            </w:hyperlink>
          </w:p>
          <w:p w:rsidR="00596D5D" w:rsidRDefault="00596D5D" w:rsidP="00A81711">
            <w:pPr>
              <w:spacing w:line="288" w:lineRule="auto"/>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8</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22</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30</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47" w:tgtFrame="_blank" w:tooltip="MA02revCO07 Plan - extract for Ireland" w:history="1">
              <w:r w:rsidR="00596D5D" w:rsidRPr="001807EA">
                <w:rPr>
                  <w:color w:val="0000FF"/>
                  <w:lang w:eastAsia="da-DK"/>
                </w:rPr>
                <w:t>Ireland</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31</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31</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48" w:tgtFrame="_blank" w:tooltip="MA02revCO07 Plan - extract for Italy" w:history="1">
              <w:r w:rsidR="00596D5D" w:rsidRPr="001807EA">
                <w:rPr>
                  <w:color w:val="0000FF"/>
                  <w:lang w:eastAsia="da-DK"/>
                </w:rPr>
                <w:t>Italy</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21</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193</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214</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49" w:tgtFrame="_blank" w:tooltip="MA02revCO07 Plan - extract for Latvia" w:history="1">
              <w:r w:rsidR="00596D5D" w:rsidRPr="001807EA">
                <w:rPr>
                  <w:color w:val="0000FF"/>
                  <w:lang w:eastAsia="da-DK"/>
                </w:rPr>
                <w:t>Latvia</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4</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7</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11</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50" w:tgtFrame="_blank" w:tooltip="MA02revCO07 Plan - extract for Liechtenstein" w:history="1">
              <w:r w:rsidR="00596D5D" w:rsidRPr="001807EA">
                <w:rPr>
                  <w:color w:val="0000FF"/>
                  <w:lang w:eastAsia="da-DK"/>
                </w:rPr>
                <w:t>Liechtenstein</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2</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3</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51" w:tgtFrame="_blank" w:tooltip="MA02revCO07 Plan - extract for Lithuania" w:history="1">
              <w:r w:rsidR="00596D5D" w:rsidRPr="001807EA">
                <w:rPr>
                  <w:color w:val="0000FF"/>
                  <w:lang w:eastAsia="da-DK"/>
                </w:rPr>
                <w:t>Lithuania</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5</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40</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45</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52" w:tgtFrame="_blank" w:tooltip="MA02revCO07 Plan - extract for Luxembourg" w:history="1">
              <w:r w:rsidR="00596D5D" w:rsidRPr="001807EA">
                <w:rPr>
                  <w:color w:val="0000FF"/>
                  <w:lang w:eastAsia="da-DK"/>
                </w:rPr>
                <w:t>Luxemburg</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53" w:tgtFrame="_blank" w:tooltip="MA02revCO07 Plan - extract for FYR of Macedonia" w:history="1">
              <w:r w:rsidR="00596D5D" w:rsidRPr="001807EA">
                <w:rPr>
                  <w:color w:val="0000FF"/>
                  <w:lang w:eastAsia="da-DK"/>
                </w:rPr>
                <w:t>FYR of Macedonia</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2</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w:t>
            </w:r>
          </w:p>
        </w:tc>
      </w:tr>
      <w:tr w:rsidR="00596D5D" w:rsidTr="00596D5D">
        <w:trPr>
          <w:trHeight w:val="180"/>
          <w:hidden/>
        </w:trPr>
        <w:tc>
          <w:tcPr>
            <w:tcW w:w="3085" w:type="dxa"/>
            <w:tcBorders>
              <w:top w:val="single" w:sz="6" w:space="0" w:color="D2232A"/>
              <w:left w:val="single" w:sz="4" w:space="0" w:color="D2232A"/>
              <w:bottom w:val="single" w:sz="6"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color w:val="0000FF"/>
                <w:lang w:eastAsia="da-DK"/>
              </w:rPr>
            </w:pPr>
            <w:hyperlink r:id="rId54" w:tgtFrame="_blank" w:tooltip="MA02revCO07 Plan - extract for Malta" w:history="1">
              <w:r w:rsidR="00596D5D" w:rsidRPr="001807EA">
                <w:rPr>
                  <w:color w:val="0000FF"/>
                  <w:lang w:eastAsia="da-DK"/>
                </w:rPr>
                <w:t>Malta</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1786" w:type="dxa"/>
            <w:gridSpan w:val="2"/>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2126" w:type="dxa"/>
            <w:tcBorders>
              <w:top w:val="single" w:sz="6" w:space="0" w:color="D2232A"/>
              <w:left w:val="single" w:sz="6" w:space="0" w:color="D2232A"/>
              <w:bottom w:val="single" w:sz="6"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6"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1</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2B2B80">
            <w:pPr>
              <w:spacing w:line="288" w:lineRule="auto"/>
              <w:rPr>
                <w:vanish/>
                <w:lang w:eastAsia="da-DK"/>
              </w:rPr>
            </w:pPr>
            <w:r w:rsidRPr="001807EA">
              <w:rPr>
                <w:vanish/>
                <w:lang w:eastAsia="da-DK"/>
              </w:rPr>
              <w:t>Top of Form</w:t>
            </w:r>
          </w:p>
          <w:p w:rsidR="00596D5D" w:rsidRDefault="00A23A71" w:rsidP="002B2B80">
            <w:pPr>
              <w:spacing w:line="288" w:lineRule="auto"/>
              <w:rPr>
                <w:vanish/>
                <w:lang w:eastAsia="da-DK"/>
              </w:rPr>
            </w:pPr>
            <w:hyperlink r:id="rId55" w:tgtFrame="_blank" w:tooltip="MA02revCO07 Plan - extract for Moldova" w:history="1">
              <w:r w:rsidR="00596D5D" w:rsidRPr="001807EA">
                <w:rPr>
                  <w:color w:val="0000FF"/>
                  <w:lang w:eastAsia="da-DK"/>
                </w:rPr>
                <w:t>Moldova</w:t>
              </w:r>
            </w:hyperlink>
          </w:p>
          <w:p w:rsidR="00596D5D" w:rsidRPr="001807EA" w:rsidRDefault="00596D5D" w:rsidP="002B2B80">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26</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26</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56" w:tgtFrame="_blank" w:tooltip="MA02revCO07 Plan - extract for Monaco" w:history="1">
              <w:r w:rsidR="00596D5D" w:rsidRPr="001807EA">
                <w:rPr>
                  <w:color w:val="0000FF"/>
                  <w:lang w:eastAsia="da-DK"/>
                </w:rPr>
                <w:t>Monaco</w:t>
              </w:r>
            </w:hyperlink>
          </w:p>
          <w:p w:rsidR="00596D5D" w:rsidRPr="002B2B80"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2</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57" w:tgtFrame="_blank" w:tooltip="MA02revCO07 Plan - extract for The Netherlands" w:history="1">
              <w:r w:rsidR="00596D5D" w:rsidRPr="001807EA">
                <w:rPr>
                  <w:color w:val="0000FF"/>
                  <w:lang w:eastAsia="da-DK"/>
                </w:rPr>
                <w:t>The Netherlands</w:t>
              </w:r>
            </w:hyperlink>
          </w:p>
          <w:p w:rsidR="00596D5D" w:rsidRPr="002B2B80"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141</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142</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lastRenderedPageBreak/>
              <w:t>Top of Form</w:t>
            </w:r>
          </w:p>
          <w:p w:rsidR="00596D5D" w:rsidRDefault="00A23A71" w:rsidP="00A81711">
            <w:pPr>
              <w:spacing w:line="288" w:lineRule="auto"/>
              <w:rPr>
                <w:vanish/>
                <w:lang w:eastAsia="da-DK"/>
              </w:rPr>
            </w:pPr>
            <w:hyperlink r:id="rId58" w:tgtFrame="_blank" w:tooltip="MA02revCO07 Plan - extract for Norway" w:history="1">
              <w:r w:rsidR="00596D5D" w:rsidRPr="001807EA">
                <w:rPr>
                  <w:color w:val="0000FF"/>
                  <w:lang w:eastAsia="da-DK"/>
                </w:rPr>
                <w:t>Norway</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83</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84</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color w:val="0000FF"/>
                <w:lang w:eastAsia="da-DK"/>
              </w:rPr>
            </w:pPr>
            <w:hyperlink r:id="rId59" w:tgtFrame="_blank" w:tooltip="MA02revCO07 Plan - extract for Poland" w:history="1">
              <w:r w:rsidR="00596D5D" w:rsidRPr="001807EA">
                <w:rPr>
                  <w:color w:val="0000FF"/>
                  <w:lang w:eastAsia="da-DK"/>
                </w:rPr>
                <w:t>Poland</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49</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16</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65</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color w:val="0000FF"/>
                <w:lang w:eastAsia="da-DK"/>
              </w:rPr>
            </w:pPr>
            <w:hyperlink r:id="rId60" w:tgtFrame="_blank" w:tooltip="MA02revCO07 Plan - extract for Portugal" w:history="1">
              <w:r w:rsidR="00596D5D" w:rsidRPr="001807EA">
                <w:rPr>
                  <w:color w:val="0000FF"/>
                  <w:lang w:eastAsia="da-DK"/>
                </w:rPr>
                <w:t>Portugal</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14</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60</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74</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61" w:tgtFrame="_blank" w:tooltip="MA02revCO07 Plan - extract for Romania" w:history="1">
              <w:r w:rsidR="00596D5D" w:rsidRPr="001807EA">
                <w:rPr>
                  <w:color w:val="0000FF"/>
                  <w:lang w:eastAsia="da-DK"/>
                </w:rPr>
                <w:t>Romania</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11</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48</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59</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color w:val="0000FF"/>
                <w:lang w:eastAsia="da-DK"/>
              </w:rPr>
            </w:pPr>
            <w:hyperlink r:id="rId62" w:tgtFrame="_blank" w:tooltip="MA02revCO07 Plan - extract for San Marino" w:history="1">
              <w:r w:rsidR="00596D5D" w:rsidRPr="001807EA">
                <w:rPr>
                  <w:color w:val="0000FF"/>
                  <w:lang w:eastAsia="da-DK"/>
                </w:rPr>
                <w:t>San Marino</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63" w:tgtFrame="_blank" w:tooltip="MA02revCO07 Plan - extract for Slovak Republic" w:history="1">
              <w:r w:rsidR="00596D5D" w:rsidRPr="001807EA">
                <w:rPr>
                  <w:color w:val="0000FF"/>
                  <w:lang w:eastAsia="da-DK"/>
                </w:rPr>
                <w:t>Slovak Republic</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16</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12</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29</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64" w:tgtFrame="_blank" w:tooltip="MA02revCO07 Plan - extract for Slovenia" w:history="1">
              <w:r w:rsidR="00596D5D" w:rsidRPr="001807EA">
                <w:rPr>
                  <w:color w:val="0000FF"/>
                  <w:lang w:eastAsia="da-DK"/>
                </w:rPr>
                <w:t>Slovenia</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8</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9</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17</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65" w:tgtFrame="_blank" w:tooltip="MA02revCO07 Plan - extract for Spain" w:history="1">
              <w:r w:rsidR="00596D5D" w:rsidRPr="001807EA">
                <w:rPr>
                  <w:color w:val="0000FF"/>
                  <w:lang w:eastAsia="da-DK"/>
                </w:rPr>
                <w:t>Spain</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19</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342</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361</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596D5D" w:rsidRDefault="00596D5D" w:rsidP="00A81711">
            <w:pPr>
              <w:spacing w:line="288" w:lineRule="auto"/>
              <w:rPr>
                <w:vanish/>
                <w:lang w:eastAsia="da-DK"/>
              </w:rPr>
            </w:pPr>
            <w:r w:rsidRPr="001807EA">
              <w:rPr>
                <w:vanish/>
                <w:lang w:eastAsia="da-DK"/>
              </w:rPr>
              <w:t>Top of Form</w:t>
            </w:r>
          </w:p>
          <w:p w:rsidR="00596D5D" w:rsidRDefault="00A23A71" w:rsidP="00A81711">
            <w:pPr>
              <w:spacing w:line="288" w:lineRule="auto"/>
              <w:rPr>
                <w:vanish/>
                <w:lang w:eastAsia="da-DK"/>
              </w:rPr>
            </w:pPr>
            <w:hyperlink r:id="rId66" w:tgtFrame="_blank" w:tooltip="MA02revCO07 Plan - extract for Sweden" w:history="1">
              <w:r w:rsidR="00596D5D" w:rsidRPr="001807EA">
                <w:rPr>
                  <w:color w:val="0000FF"/>
                  <w:lang w:eastAsia="da-DK"/>
                </w:rPr>
                <w:t>Sweden</w:t>
              </w:r>
            </w:hyperlink>
          </w:p>
          <w:p w:rsidR="00596D5D" w:rsidRPr="001807EA" w:rsidRDefault="00596D5D"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1786" w:type="dxa"/>
            <w:gridSpan w:val="2"/>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93</w:t>
            </w:r>
          </w:p>
        </w:tc>
        <w:tc>
          <w:tcPr>
            <w:tcW w:w="2126" w:type="dxa"/>
            <w:tcBorders>
              <w:top w:val="single" w:sz="6" w:space="0" w:color="D2232A"/>
              <w:left w:val="single" w:sz="6" w:space="0" w:color="D2232A"/>
              <w:bottom w:val="single" w:sz="4" w:space="0" w:color="D2232A"/>
              <w:right w:val="single" w:sz="6" w:space="0" w:color="D2232A"/>
            </w:tcBorders>
          </w:tcPr>
          <w:p w:rsidR="00596D5D" w:rsidRPr="001807EA" w:rsidRDefault="00596D5D" w:rsidP="00596D5D">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596D5D" w:rsidRPr="001807EA" w:rsidRDefault="00596D5D" w:rsidP="00596D5D">
            <w:pPr>
              <w:rPr>
                <w:color w:val="000000"/>
                <w:lang w:eastAsia="da-DK"/>
              </w:rPr>
            </w:pPr>
            <w:r w:rsidRPr="001807EA">
              <w:rPr>
                <w:color w:val="000000"/>
                <w:lang w:eastAsia="da-DK"/>
              </w:rPr>
              <w:t>93</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2B2B80" w:rsidRDefault="002B2B80" w:rsidP="00A81711">
            <w:pPr>
              <w:spacing w:line="288" w:lineRule="auto"/>
              <w:rPr>
                <w:vanish/>
                <w:lang w:eastAsia="da-DK"/>
              </w:rPr>
            </w:pPr>
            <w:r w:rsidRPr="001807EA">
              <w:rPr>
                <w:vanish/>
                <w:lang w:eastAsia="da-DK"/>
              </w:rPr>
              <w:t>Top of Form</w:t>
            </w:r>
          </w:p>
          <w:p w:rsidR="002B2B80" w:rsidRDefault="00A23A71" w:rsidP="00A81711">
            <w:pPr>
              <w:spacing w:line="288" w:lineRule="auto"/>
              <w:rPr>
                <w:color w:val="0000FF"/>
                <w:lang w:eastAsia="da-DK"/>
              </w:rPr>
            </w:pPr>
            <w:hyperlink r:id="rId67" w:tgtFrame="_blank" w:tooltip="MA02revCO07 Plan - extract for Switzerland" w:history="1">
              <w:r w:rsidR="002B2B80" w:rsidRPr="001807EA">
                <w:rPr>
                  <w:color w:val="0000FF"/>
                  <w:lang w:eastAsia="da-DK"/>
                </w:rPr>
                <w:t>Switzerland</w:t>
              </w:r>
            </w:hyperlink>
          </w:p>
          <w:p w:rsidR="002B2B80" w:rsidRPr="002B2B80" w:rsidRDefault="002B2B80"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33</w:t>
            </w:r>
          </w:p>
        </w:tc>
        <w:tc>
          <w:tcPr>
            <w:tcW w:w="1786" w:type="dxa"/>
            <w:gridSpan w:val="2"/>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17</w:t>
            </w:r>
          </w:p>
        </w:tc>
        <w:tc>
          <w:tcPr>
            <w:tcW w:w="2126"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2B2B80" w:rsidRPr="001807EA" w:rsidRDefault="002B2B80" w:rsidP="002B2B80">
            <w:pPr>
              <w:rPr>
                <w:color w:val="000000"/>
                <w:lang w:eastAsia="da-DK"/>
              </w:rPr>
            </w:pPr>
            <w:r w:rsidRPr="001807EA">
              <w:rPr>
                <w:color w:val="000000"/>
                <w:lang w:eastAsia="da-DK"/>
              </w:rPr>
              <w:t>50</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2B2B80" w:rsidRDefault="002B2B80" w:rsidP="00A81711">
            <w:pPr>
              <w:spacing w:line="288" w:lineRule="auto"/>
              <w:rPr>
                <w:vanish/>
                <w:lang w:eastAsia="da-DK"/>
              </w:rPr>
            </w:pPr>
            <w:r w:rsidRPr="001807EA">
              <w:rPr>
                <w:vanish/>
                <w:lang w:eastAsia="da-DK"/>
              </w:rPr>
              <w:t>Top of Form</w:t>
            </w:r>
          </w:p>
          <w:p w:rsidR="002B2B80" w:rsidRDefault="00A23A71" w:rsidP="00A81711">
            <w:pPr>
              <w:spacing w:line="288" w:lineRule="auto"/>
              <w:rPr>
                <w:vanish/>
                <w:lang w:eastAsia="da-DK"/>
              </w:rPr>
            </w:pPr>
            <w:hyperlink r:id="rId68" w:tgtFrame="_blank" w:tooltip="MA02revCO07 Plan - extract for Turkey" w:history="1">
              <w:r w:rsidR="002B2B80" w:rsidRPr="001807EA">
                <w:rPr>
                  <w:color w:val="0000FF"/>
                  <w:lang w:eastAsia="da-DK"/>
                </w:rPr>
                <w:t>Turkey</w:t>
              </w:r>
            </w:hyperlink>
          </w:p>
          <w:p w:rsidR="002B2B80" w:rsidRPr="002B2B80" w:rsidRDefault="002B2B80"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6</w:t>
            </w:r>
          </w:p>
        </w:tc>
        <w:tc>
          <w:tcPr>
            <w:tcW w:w="1786" w:type="dxa"/>
            <w:gridSpan w:val="2"/>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5</w:t>
            </w:r>
          </w:p>
        </w:tc>
        <w:tc>
          <w:tcPr>
            <w:tcW w:w="2126"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2B2B80" w:rsidRPr="001807EA" w:rsidRDefault="002B2B80" w:rsidP="002B2B80">
            <w:pPr>
              <w:rPr>
                <w:color w:val="000000"/>
                <w:lang w:eastAsia="da-DK"/>
              </w:rPr>
            </w:pPr>
            <w:r w:rsidRPr="001807EA">
              <w:rPr>
                <w:color w:val="000000"/>
                <w:lang w:eastAsia="da-DK"/>
              </w:rPr>
              <w:t>11</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2B2B80" w:rsidRDefault="002B2B80" w:rsidP="00A81711">
            <w:pPr>
              <w:spacing w:line="288" w:lineRule="auto"/>
              <w:rPr>
                <w:vanish/>
                <w:lang w:eastAsia="da-DK"/>
              </w:rPr>
            </w:pPr>
            <w:r w:rsidRPr="001807EA">
              <w:rPr>
                <w:vanish/>
                <w:lang w:eastAsia="da-DK"/>
              </w:rPr>
              <w:t>Top of Form</w:t>
            </w:r>
          </w:p>
          <w:p w:rsidR="002B2B80" w:rsidRDefault="00A23A71" w:rsidP="00A81711">
            <w:pPr>
              <w:spacing w:line="288" w:lineRule="auto"/>
              <w:rPr>
                <w:vanish/>
                <w:lang w:eastAsia="da-DK"/>
              </w:rPr>
            </w:pPr>
            <w:hyperlink r:id="rId69" w:tgtFrame="_blank" w:tooltip="MA02revCO07 Plan - extract for Ukraine" w:history="1">
              <w:r w:rsidR="002B2B80" w:rsidRPr="001807EA">
                <w:rPr>
                  <w:color w:val="0000FF"/>
                  <w:lang w:eastAsia="da-DK"/>
                </w:rPr>
                <w:t>Ukraine</w:t>
              </w:r>
            </w:hyperlink>
          </w:p>
          <w:p w:rsidR="002B2B80" w:rsidRPr="001807EA" w:rsidRDefault="002B2B80"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25</w:t>
            </w:r>
          </w:p>
        </w:tc>
        <w:tc>
          <w:tcPr>
            <w:tcW w:w="1786" w:type="dxa"/>
            <w:gridSpan w:val="2"/>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58</w:t>
            </w:r>
          </w:p>
        </w:tc>
        <w:tc>
          <w:tcPr>
            <w:tcW w:w="2126"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2B2B80" w:rsidRPr="001807EA" w:rsidRDefault="002B2B80" w:rsidP="002B2B80">
            <w:pPr>
              <w:rPr>
                <w:color w:val="000000"/>
                <w:lang w:eastAsia="da-DK"/>
              </w:rPr>
            </w:pPr>
            <w:r w:rsidRPr="001807EA">
              <w:rPr>
                <w:color w:val="000000"/>
                <w:lang w:eastAsia="da-DK"/>
              </w:rPr>
              <w:t>83</w:t>
            </w:r>
          </w:p>
        </w:tc>
      </w:tr>
      <w:tr w:rsidR="00596D5D" w:rsidTr="00596D5D">
        <w:trPr>
          <w:trHeight w:val="180"/>
          <w:hidden/>
        </w:trPr>
        <w:tc>
          <w:tcPr>
            <w:tcW w:w="3085" w:type="dxa"/>
            <w:tcBorders>
              <w:top w:val="single" w:sz="6" w:space="0" w:color="D2232A"/>
              <w:left w:val="single" w:sz="4" w:space="0" w:color="D2232A"/>
              <w:bottom w:val="single" w:sz="4" w:space="0" w:color="D2232A"/>
              <w:right w:val="single" w:sz="6" w:space="0" w:color="D2232A"/>
            </w:tcBorders>
            <w:vAlign w:val="center"/>
          </w:tcPr>
          <w:p w:rsidR="002B2B80" w:rsidRDefault="002B2B80" w:rsidP="00A81711">
            <w:pPr>
              <w:spacing w:line="288" w:lineRule="auto"/>
              <w:rPr>
                <w:vanish/>
                <w:lang w:eastAsia="da-DK"/>
              </w:rPr>
            </w:pPr>
            <w:r w:rsidRPr="001807EA">
              <w:rPr>
                <w:vanish/>
                <w:lang w:eastAsia="da-DK"/>
              </w:rPr>
              <w:t>Top of Form</w:t>
            </w:r>
          </w:p>
          <w:p w:rsidR="002B2B80" w:rsidRDefault="00A23A71" w:rsidP="00A81711">
            <w:pPr>
              <w:spacing w:line="288" w:lineRule="auto"/>
              <w:rPr>
                <w:vanish/>
                <w:lang w:eastAsia="da-DK"/>
              </w:rPr>
            </w:pPr>
            <w:hyperlink r:id="rId70" w:tgtFrame="_blank" w:tooltip="MA02revCO07 Plan - extract for United Kingdom" w:history="1">
              <w:r w:rsidR="002B2B80" w:rsidRPr="001807EA">
                <w:rPr>
                  <w:color w:val="0000FF"/>
                  <w:lang w:eastAsia="da-DK"/>
                </w:rPr>
                <w:t>United Kingdom</w:t>
              </w:r>
            </w:hyperlink>
          </w:p>
          <w:p w:rsidR="002B2B80" w:rsidRPr="001807EA" w:rsidRDefault="002B2B80" w:rsidP="00A81711">
            <w:pPr>
              <w:spacing w:line="288" w:lineRule="auto"/>
              <w:rPr>
                <w:vanish/>
                <w:lang w:eastAsia="da-DK"/>
              </w:rPr>
            </w:pPr>
            <w:r w:rsidRPr="001807EA">
              <w:rPr>
                <w:vanish/>
                <w:lang w:eastAsia="da-DK"/>
              </w:rPr>
              <w:t>Bottom of Form</w:t>
            </w:r>
          </w:p>
        </w:tc>
        <w:tc>
          <w:tcPr>
            <w:tcW w:w="1900"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1</w:t>
            </w:r>
          </w:p>
        </w:tc>
        <w:tc>
          <w:tcPr>
            <w:tcW w:w="1786" w:type="dxa"/>
            <w:gridSpan w:val="2"/>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276</w:t>
            </w:r>
          </w:p>
        </w:tc>
        <w:tc>
          <w:tcPr>
            <w:tcW w:w="2126" w:type="dxa"/>
            <w:tcBorders>
              <w:top w:val="single" w:sz="6" w:space="0" w:color="D2232A"/>
              <w:left w:val="single" w:sz="6" w:space="0" w:color="D2232A"/>
              <w:bottom w:val="single" w:sz="4" w:space="0" w:color="D2232A"/>
              <w:right w:val="single" w:sz="6" w:space="0" w:color="D2232A"/>
            </w:tcBorders>
          </w:tcPr>
          <w:p w:rsidR="002B2B80" w:rsidRPr="001807EA" w:rsidRDefault="002B2B80" w:rsidP="002B2B80">
            <w:pPr>
              <w:rPr>
                <w:color w:val="000000"/>
                <w:lang w:eastAsia="da-DK"/>
              </w:rPr>
            </w:pPr>
            <w:r w:rsidRPr="001807EA">
              <w:rPr>
                <w:color w:val="000000"/>
                <w:lang w:eastAsia="da-DK"/>
              </w:rPr>
              <w:t>0</w:t>
            </w:r>
          </w:p>
        </w:tc>
        <w:tc>
          <w:tcPr>
            <w:tcW w:w="958" w:type="dxa"/>
            <w:tcBorders>
              <w:top w:val="single" w:sz="6" w:space="0" w:color="D2232A"/>
              <w:left w:val="single" w:sz="6" w:space="0" w:color="D2232A"/>
              <w:bottom w:val="single" w:sz="4" w:space="0" w:color="D2232A"/>
              <w:right w:val="single" w:sz="4" w:space="0" w:color="D2232A"/>
            </w:tcBorders>
          </w:tcPr>
          <w:p w:rsidR="002B2B80" w:rsidRPr="001807EA" w:rsidRDefault="002B2B80" w:rsidP="002B2B80">
            <w:pPr>
              <w:rPr>
                <w:color w:val="000000"/>
                <w:lang w:eastAsia="da-DK"/>
              </w:rPr>
            </w:pPr>
            <w:r w:rsidRPr="001807EA">
              <w:rPr>
                <w:color w:val="000000"/>
                <w:lang w:eastAsia="da-DK"/>
              </w:rPr>
              <w:t>277</w:t>
            </w:r>
          </w:p>
        </w:tc>
      </w:tr>
    </w:tbl>
    <w:p w:rsidR="00596D5D" w:rsidRPr="004575D5" w:rsidRDefault="00596D5D" w:rsidP="007C3130">
      <w:pPr>
        <w:pStyle w:val="ECCParagraph"/>
        <w:spacing w:before="120"/>
      </w:pPr>
      <w:r w:rsidRPr="004575D5">
        <w:t xml:space="preserve">Administrations that would choose this aggregation method would need to introduce new entries in the Plan as there are very few locations with three frequency adjacent blocks in a given area </w:t>
      </w:r>
      <w:r>
        <w:t>with</w:t>
      </w:r>
      <w:r w:rsidRPr="004575D5">
        <w:t>in the Plan as of August 2011</w:t>
      </w:r>
      <w:r>
        <w:t xml:space="preserve"> according to the assessment below</w:t>
      </w:r>
      <w:r w:rsidRPr="004575D5">
        <w:t xml:space="preserve">. </w:t>
      </w:r>
    </w:p>
    <w:p w:rsidR="00596D5D" w:rsidRPr="00DD627B" w:rsidRDefault="00596D5D" w:rsidP="00596D5D">
      <w:pPr>
        <w:pStyle w:val="ECCParagraph"/>
        <w:rPr>
          <w:b/>
          <w:bCs/>
        </w:rPr>
      </w:pPr>
      <w:r w:rsidRPr="00DD627B">
        <w:t>Analysis of the MA02</w:t>
      </w:r>
      <w:r w:rsidRPr="000F2814">
        <w:t xml:space="preserve"> </w:t>
      </w:r>
      <w:r>
        <w:t xml:space="preserve">revCO07 </w:t>
      </w:r>
      <w:r w:rsidRPr="00DD627B">
        <w:t xml:space="preserve">Plan shows that there are very few geographical areas </w:t>
      </w:r>
      <w:r>
        <w:t>with</w:t>
      </w:r>
      <w:r w:rsidRPr="00DD627B">
        <w:t xml:space="preserve"> two or three contiguous T-DAB blocks. </w:t>
      </w:r>
      <w:r>
        <w:t xml:space="preserve">This outcome results from the fact that </w:t>
      </w:r>
      <w:r w:rsidRPr="00DD627B">
        <w:t xml:space="preserve">only a few countries </w:t>
      </w:r>
      <w:r>
        <w:t xml:space="preserve">currently </w:t>
      </w:r>
      <w:r w:rsidRPr="00DD627B">
        <w:t>possess</w:t>
      </w:r>
      <w:r w:rsidRPr="00E62C02">
        <w:t xml:space="preserve"> </w:t>
      </w:r>
      <w:r>
        <w:t>in total</w:t>
      </w:r>
      <w:r w:rsidRPr="00DD627B">
        <w:t xml:space="preserve"> three layers of Plan entries</w:t>
      </w:r>
      <w:r>
        <w:t>, neither national nor regional (i.e. within certain geographical areas)</w:t>
      </w:r>
      <w:r w:rsidRPr="00DD627B">
        <w:t>.</w:t>
      </w:r>
    </w:p>
    <w:p w:rsidR="00596D5D" w:rsidRDefault="00596D5D" w:rsidP="007C3130">
      <w:pPr>
        <w:pStyle w:val="ECCParagraph"/>
        <w:spacing w:after="120"/>
      </w:pPr>
      <w:r w:rsidRPr="00DD627B">
        <w:t xml:space="preserve">The Plan </w:t>
      </w:r>
      <w:r>
        <w:t xml:space="preserve">was originally </w:t>
      </w:r>
      <w:r w:rsidRPr="00DD627B">
        <w:t xml:space="preserve">established in 1995 at Wiesbaden (WI95) </w:t>
      </w:r>
      <w:r>
        <w:t xml:space="preserve">and </w:t>
      </w:r>
      <w:r w:rsidRPr="00DD627B">
        <w:t>provided two T-DAB layers on the basis of national requirements either in the 1452</w:t>
      </w:r>
      <w:r>
        <w:t>-1467</w:t>
      </w:r>
      <w:r w:rsidRPr="00DD627B">
        <w:t xml:space="preserve"> </w:t>
      </w:r>
      <w:r>
        <w:t>M</w:t>
      </w:r>
      <w:r w:rsidRPr="00DD627B">
        <w:t xml:space="preserve">Hz band (see </w:t>
      </w:r>
      <w:r w:rsidR="00A81711">
        <w:fldChar w:fldCharType="begin"/>
      </w:r>
      <w:r w:rsidR="00A81711">
        <w:instrText xml:space="preserve"> REF _Ref319331365 \n \h </w:instrText>
      </w:r>
      <w:r w:rsidR="00A81711">
        <w:fldChar w:fldCharType="separate"/>
      </w:r>
      <w:r w:rsidR="00A81711">
        <w:t>Figure 4:</w:t>
      </w:r>
      <w:r w:rsidR="00A81711">
        <w:fldChar w:fldCharType="end"/>
      </w:r>
      <w:r w:rsidR="00A81711">
        <w:t xml:space="preserve">and </w:t>
      </w:r>
      <w:r w:rsidR="00A81711">
        <w:fldChar w:fldCharType="begin"/>
      </w:r>
      <w:r w:rsidR="00A81711">
        <w:instrText xml:space="preserve"> REF _Ref319331452 \n \h </w:instrText>
      </w:r>
      <w:r w:rsidR="00A81711">
        <w:fldChar w:fldCharType="separate"/>
      </w:r>
      <w:r w:rsidR="00A81711">
        <w:t>Figure 5:</w:t>
      </w:r>
      <w:r w:rsidR="00A81711">
        <w:fldChar w:fldCharType="end"/>
      </w:r>
      <w:r w:rsidR="00A81711" w:rsidRPr="00DD627B">
        <w:t xml:space="preserve"> </w:t>
      </w:r>
      <w:r w:rsidRPr="00DD627B">
        <w:t xml:space="preserve">and/or VHF. At Maastricht 2002 one additional T-DAB </w:t>
      </w:r>
      <w:r>
        <w:t>layer was planned in the 1452-</w:t>
      </w:r>
      <w:r w:rsidRPr="00DD627B">
        <w:t xml:space="preserve">1479.5 MHz band (see </w:t>
      </w:r>
      <w:r w:rsidR="00A81711">
        <w:fldChar w:fldCharType="begin"/>
      </w:r>
      <w:r w:rsidR="00A81711">
        <w:instrText xml:space="preserve"> REF _Ref319331464 \n \h </w:instrText>
      </w:r>
      <w:r w:rsidR="00A81711">
        <w:fldChar w:fldCharType="separate"/>
      </w:r>
      <w:r w:rsidR="00A81711">
        <w:t>Figure 6:</w:t>
      </w:r>
      <w:r w:rsidR="00A81711">
        <w:fldChar w:fldCharType="end"/>
      </w:r>
      <w:r w:rsidRPr="00DD627B">
        <w:t>). Furthermore, a new Special Arrangement was established, namely the MA02 Special Arrangement.</w:t>
      </w:r>
      <w:r>
        <w:t xml:space="preserve"> </w:t>
      </w:r>
      <w:r w:rsidRPr="00DD627B">
        <w:t>Following the two planning conferences WI95 and MA02</w:t>
      </w:r>
      <w:r>
        <w:t>:</w:t>
      </w:r>
    </w:p>
    <w:p w:rsidR="00596D5D" w:rsidRDefault="00596D5D" w:rsidP="000F6780">
      <w:pPr>
        <w:pStyle w:val="ECCParagraph"/>
        <w:numPr>
          <w:ilvl w:val="0"/>
          <w:numId w:val="11"/>
        </w:numPr>
        <w:spacing w:after="120"/>
      </w:pPr>
      <w:r w:rsidRPr="00DD627B">
        <w:t xml:space="preserve">a few countries have three T-DAB layers in the 1.5 GHz band and no T-DAB in VHF, </w:t>
      </w:r>
    </w:p>
    <w:p w:rsidR="00596D5D" w:rsidRDefault="00596D5D" w:rsidP="000F6780">
      <w:pPr>
        <w:pStyle w:val="ECCParagraph"/>
        <w:numPr>
          <w:ilvl w:val="0"/>
          <w:numId w:val="11"/>
        </w:numPr>
        <w:spacing w:after="120"/>
        <w:ind w:left="714" w:hanging="357"/>
      </w:pPr>
      <w:r w:rsidRPr="00DD627B">
        <w:t>most countries have two T-DAB layers in the 1.5 GH</w:t>
      </w:r>
      <w:r>
        <w:t>z</w:t>
      </w:r>
      <w:r w:rsidRPr="00DD627B">
        <w:t xml:space="preserve"> band and one VHF layer, </w:t>
      </w:r>
    </w:p>
    <w:p w:rsidR="00DC4FFC" w:rsidRDefault="00596D5D" w:rsidP="000F6780">
      <w:pPr>
        <w:pStyle w:val="ECCParagraph"/>
        <w:numPr>
          <w:ilvl w:val="0"/>
          <w:numId w:val="11"/>
        </w:numPr>
      </w:pPr>
      <w:r w:rsidRPr="00DD627B">
        <w:t xml:space="preserve">only </w:t>
      </w:r>
      <w:r>
        <w:t xml:space="preserve">some countries </w:t>
      </w:r>
      <w:r w:rsidRPr="00DD627B">
        <w:t>have one T-DAB layer in the 1.</w:t>
      </w:r>
      <w:r>
        <w:t>5 GHz</w:t>
      </w:r>
      <w:r w:rsidRPr="00DD627B">
        <w:t xml:space="preserve"> band and two VHF layers.</w:t>
      </w:r>
    </w:p>
    <w:p w:rsidR="007C3130" w:rsidRDefault="007C3130" w:rsidP="007C3130">
      <w:pPr>
        <w:pStyle w:val="ECCParagraph"/>
      </w:pPr>
    </w:p>
    <w:p w:rsidR="00026A63" w:rsidRDefault="00596D5D" w:rsidP="007E42E6">
      <w:pPr>
        <w:pStyle w:val="ECCFiguretitle"/>
      </w:pPr>
      <w:bookmarkStart w:id="88" w:name="_Ref319331365"/>
      <w:r w:rsidRPr="000A48B0">
        <w:t>T-DAB layer 1 in the 1.5 GHz band originating from WI95</w:t>
      </w:r>
      <w:r>
        <w:t xml:space="preserve"> (2007)</w:t>
      </w:r>
      <w:bookmarkEnd w:id="88"/>
    </w:p>
    <w:p w:rsidR="00596D5D" w:rsidRDefault="00596D5D" w:rsidP="00DC4FFC"/>
    <w:p w:rsidR="00596D5D" w:rsidRDefault="00596D5D" w:rsidP="007C3130">
      <w:pPr>
        <w:jc w:val="center"/>
      </w:pPr>
      <w:r>
        <w:rPr>
          <w:noProof/>
          <w:lang w:val="fr-FR" w:eastAsia="fr-FR"/>
        </w:rPr>
        <w:lastRenderedPageBreak/>
        <w:drawing>
          <wp:inline distT="0" distB="0" distL="0" distR="0" wp14:anchorId="78AF9548" wp14:editId="02FEEFEF">
            <wp:extent cx="5640070" cy="3394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026A63" w:rsidRDefault="00026A63" w:rsidP="008A54FC"/>
    <w:p w:rsidR="008A54FC" w:rsidRDefault="00596D5D" w:rsidP="007E42E6">
      <w:pPr>
        <w:pStyle w:val="ECCFiguretitle"/>
      </w:pPr>
      <w:bookmarkStart w:id="89" w:name="_Ref319331452"/>
      <w:r w:rsidRPr="000A48B0">
        <w:t>T-DAB layer 2 in the 1.5 GHz band originating from WI95</w:t>
      </w:r>
      <w:r>
        <w:t xml:space="preserve"> (2007)</w:t>
      </w:r>
      <w:bookmarkEnd w:id="89"/>
    </w:p>
    <w:p w:rsidR="00596D5D" w:rsidRDefault="00596D5D" w:rsidP="007C3130">
      <w:pPr>
        <w:pStyle w:val="ECCParagraph"/>
        <w:jc w:val="center"/>
      </w:pPr>
      <w:r>
        <w:rPr>
          <w:noProof/>
          <w:lang w:val="fr-FR" w:eastAsia="fr-FR"/>
        </w:rPr>
        <w:drawing>
          <wp:inline distT="0" distB="0" distL="0" distR="0" wp14:anchorId="09475235" wp14:editId="10297F72">
            <wp:extent cx="5640070" cy="3394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596D5D" w:rsidRDefault="00596D5D" w:rsidP="00596D5D">
      <w:pPr>
        <w:pStyle w:val="ECCParagraph"/>
      </w:pPr>
    </w:p>
    <w:p w:rsidR="00596D5D" w:rsidRDefault="00596D5D" w:rsidP="007E42E6">
      <w:pPr>
        <w:pStyle w:val="ECCFiguretitle"/>
      </w:pPr>
      <w:bookmarkStart w:id="90" w:name="_Ref319331464"/>
      <w:r w:rsidRPr="000A48B0">
        <w:t>T-DAB layer 3 in the 1.5 GHz band originating from MA02</w:t>
      </w:r>
      <w:r>
        <w:t>revCO07 (2007)</w:t>
      </w:r>
      <w:bookmarkEnd w:id="90"/>
    </w:p>
    <w:p w:rsidR="007C3130" w:rsidRPr="007C3130" w:rsidRDefault="007C3130" w:rsidP="007C3130">
      <w:pPr>
        <w:pStyle w:val="ECCParagraph"/>
        <w:jc w:val="center"/>
      </w:pPr>
      <w:r>
        <w:rPr>
          <w:noProof/>
          <w:lang w:val="fr-FR" w:eastAsia="fr-FR"/>
        </w:rPr>
        <w:lastRenderedPageBreak/>
        <w:drawing>
          <wp:inline distT="0" distB="0" distL="0" distR="0" wp14:anchorId="230AE7C3" wp14:editId="7469E6A3">
            <wp:extent cx="5640070" cy="3394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40070" cy="3394075"/>
                    </a:xfrm>
                    <a:prstGeom prst="rect">
                      <a:avLst/>
                    </a:prstGeom>
                    <a:noFill/>
                    <a:ln>
                      <a:noFill/>
                    </a:ln>
                  </pic:spPr>
                </pic:pic>
              </a:graphicData>
            </a:graphic>
          </wp:inline>
        </w:drawing>
      </w:r>
    </w:p>
    <w:p w:rsidR="00A81711" w:rsidRDefault="00A81711" w:rsidP="00A81711">
      <w:pPr>
        <w:pStyle w:val="ECCAnnexheading2"/>
        <w:rPr>
          <w:bCs/>
        </w:rPr>
      </w:pPr>
      <w:r w:rsidRPr="00DD627B">
        <w:rPr>
          <w:bCs/>
        </w:rPr>
        <w:t>Potential addition of contiguous blocks in a given area</w:t>
      </w:r>
    </w:p>
    <w:p w:rsidR="00A81711" w:rsidRDefault="00A81711" w:rsidP="00A81711">
      <w:pPr>
        <w:pStyle w:val="ECCParagraph"/>
      </w:pPr>
      <w:r w:rsidRPr="00DD627B">
        <w:t xml:space="preserve">The </w:t>
      </w:r>
      <w:r w:rsidRPr="000A424B">
        <w:rPr>
          <w:rFonts w:cs="Arial"/>
          <w:szCs w:val="20"/>
        </w:rPr>
        <w:t>MA02revCO07</w:t>
      </w:r>
      <w:r w:rsidRPr="00DD627B">
        <w:t xml:space="preserve"> contains procedures for the addition or modification of an allotment (Annex 4, section 3 of the </w:t>
      </w:r>
      <w:r w:rsidRPr="000A424B">
        <w:rPr>
          <w:rFonts w:cs="Arial"/>
          <w:szCs w:val="20"/>
        </w:rPr>
        <w:t>MA02revCO07</w:t>
      </w:r>
      <w:r w:rsidRPr="00DD627B">
        <w:t>) which enable</w:t>
      </w:r>
      <w:r>
        <w:t>s</w:t>
      </w:r>
      <w:r w:rsidRPr="00DD627B">
        <w:t xml:space="preserve"> addition of new contiguous blocks in a given area. Co-ordination is necessary if a new allotment would:</w:t>
      </w:r>
    </w:p>
    <w:p w:rsidR="00A81711" w:rsidRPr="00DD627B" w:rsidRDefault="00A81711" w:rsidP="000F6780">
      <w:pPr>
        <w:numPr>
          <w:ilvl w:val="0"/>
          <w:numId w:val="12"/>
        </w:numPr>
        <w:autoSpaceDE w:val="0"/>
        <w:autoSpaceDN w:val="0"/>
        <w:adjustRightInd w:val="0"/>
      </w:pPr>
      <w:r w:rsidRPr="00DD627B">
        <w:t xml:space="preserve">cause field strengths greater than or equal to 38 dB(μV/m) at the boundary of any other administration; or, </w:t>
      </w:r>
    </w:p>
    <w:p w:rsidR="00A81711" w:rsidRPr="00DD627B" w:rsidRDefault="00A81711" w:rsidP="000F6780">
      <w:pPr>
        <w:numPr>
          <w:ilvl w:val="0"/>
          <w:numId w:val="12"/>
        </w:numPr>
        <w:autoSpaceDE w:val="0"/>
        <w:autoSpaceDN w:val="0"/>
        <w:adjustRightInd w:val="0"/>
      </w:pPr>
      <w:r w:rsidRPr="00DD627B">
        <w:t>with regard to any other services, cause field strengths greater than or equal to the maximum allowable interfering field strengths at the boundary of any other administration.</w:t>
      </w:r>
    </w:p>
    <w:p w:rsidR="00A81711" w:rsidRDefault="00A81711" w:rsidP="00A81711">
      <w:pPr>
        <w:autoSpaceDE w:val="0"/>
        <w:autoSpaceDN w:val="0"/>
        <w:adjustRightInd w:val="0"/>
      </w:pPr>
    </w:p>
    <w:p w:rsidR="00A81711" w:rsidRPr="00DD627B" w:rsidRDefault="00A81711" w:rsidP="00A81711">
      <w:pPr>
        <w:autoSpaceDE w:val="0"/>
        <w:autoSpaceDN w:val="0"/>
        <w:adjustRightInd w:val="0"/>
      </w:pPr>
      <w:r w:rsidRPr="00DD627B">
        <w:t>No coordination is required where the above limits are not exceeded. In practice, this corresponds to those parts of a country which are separated from the boundary of each</w:t>
      </w:r>
      <w:r w:rsidRPr="007C3130">
        <w:rPr>
          <w:lang w:val="en-GB"/>
        </w:rPr>
        <w:t xml:space="preserve"> neighbouring</w:t>
      </w:r>
      <w:r w:rsidRPr="00DD627B">
        <w:t xml:space="preserve"> administration by a certain distance. This distance depends on:</w:t>
      </w:r>
    </w:p>
    <w:p w:rsidR="00A81711" w:rsidRPr="00DD627B" w:rsidRDefault="00A81711" w:rsidP="000F6780">
      <w:pPr>
        <w:numPr>
          <w:ilvl w:val="0"/>
          <w:numId w:val="13"/>
        </w:numPr>
      </w:pPr>
      <w:r w:rsidRPr="00DD627B">
        <w:t xml:space="preserve">the reference network </w:t>
      </w:r>
      <w:r>
        <w:t xml:space="preserve">(see section 5 – Annex 2 - of the Special Arrangement) </w:t>
      </w:r>
      <w:r w:rsidRPr="00DD627B">
        <w:t>associated with a particular allotment;</w:t>
      </w:r>
    </w:p>
    <w:p w:rsidR="00A81711" w:rsidRPr="00DD627B" w:rsidRDefault="00A81711" w:rsidP="000F6780">
      <w:pPr>
        <w:numPr>
          <w:ilvl w:val="0"/>
          <w:numId w:val="13"/>
        </w:numPr>
        <w:autoSpaceDE w:val="0"/>
        <w:autoSpaceDN w:val="0"/>
        <w:adjustRightInd w:val="0"/>
        <w:rPr>
          <w:rFonts w:eastAsia="SymbolMT"/>
        </w:rPr>
      </w:pPr>
      <w:r w:rsidRPr="00DD627B">
        <w:rPr>
          <w:rFonts w:eastAsia="SymbolMT"/>
        </w:rPr>
        <w:t>the type of service to be provided;</w:t>
      </w:r>
    </w:p>
    <w:p w:rsidR="00A81711" w:rsidRPr="00DD627B" w:rsidRDefault="00A81711" w:rsidP="000F6780">
      <w:pPr>
        <w:numPr>
          <w:ilvl w:val="0"/>
          <w:numId w:val="13"/>
        </w:numPr>
        <w:autoSpaceDE w:val="0"/>
        <w:autoSpaceDN w:val="0"/>
        <w:adjustRightInd w:val="0"/>
        <w:rPr>
          <w:rFonts w:eastAsia="SymbolMT"/>
        </w:rPr>
      </w:pPr>
      <w:r w:rsidRPr="00DD627B">
        <w:rPr>
          <w:rFonts w:eastAsia="SymbolMT"/>
        </w:rPr>
        <w:t>the existence of other services in the</w:t>
      </w:r>
      <w:r w:rsidRPr="007C3130">
        <w:rPr>
          <w:rFonts w:eastAsia="SymbolMT"/>
          <w:lang w:val="en-GB"/>
        </w:rPr>
        <w:t xml:space="preserve"> neighbouring</w:t>
      </w:r>
      <w:r w:rsidRPr="00DD627B">
        <w:rPr>
          <w:rFonts w:eastAsia="SymbolMT"/>
        </w:rPr>
        <w:t xml:space="preserve"> administration and</w:t>
      </w:r>
    </w:p>
    <w:p w:rsidR="00A81711" w:rsidRDefault="00A81711" w:rsidP="000F6780">
      <w:pPr>
        <w:pStyle w:val="ECCParagraph"/>
        <w:numPr>
          <w:ilvl w:val="0"/>
          <w:numId w:val="14"/>
        </w:numPr>
      </w:pPr>
      <w:r w:rsidRPr="00DD627B">
        <w:rPr>
          <w:rFonts w:eastAsia="SymbolMT"/>
        </w:rPr>
        <w:t>the type of propagation path (Land, Cold Sea, Warm Sea or mixed) between the boundary of the new allotment and the boundary of each neighbouring administration</w:t>
      </w:r>
    </w:p>
    <w:p w:rsidR="00A81711" w:rsidRDefault="00A81711">
      <w:r>
        <w:br w:type="page"/>
      </w:r>
    </w:p>
    <w:p w:rsidR="00A81711" w:rsidRDefault="00A81711" w:rsidP="007E42E6">
      <w:pPr>
        <w:pStyle w:val="ECCTabletitle"/>
      </w:pPr>
      <w:r w:rsidRPr="000A48B0">
        <w:rPr>
          <w:rFonts w:eastAsia="SymbolMT"/>
        </w:rPr>
        <w:lastRenderedPageBreak/>
        <w:t xml:space="preserve">Typical reference network separation distances used when developing the Plan </w:t>
      </w:r>
      <w:r>
        <w:rPr>
          <w:rFonts w:eastAsia="SymbolMT"/>
        </w:rPr>
        <w:br/>
      </w:r>
      <w:r w:rsidRPr="000A48B0">
        <w:rPr>
          <w:rFonts w:eastAsia="SymbolMT"/>
        </w:rPr>
        <w:t xml:space="preserve">(based on Recommendation ITU-R P.370-7) </w:t>
      </w:r>
      <w:r>
        <w:rPr>
          <w:rFonts w:eastAsia="SymbolMT"/>
        </w:rPr>
        <w:br/>
      </w:r>
      <w:r w:rsidRPr="000A48B0">
        <w:rPr>
          <w:rFonts w:eastAsia="SymbolMT"/>
        </w:rPr>
        <w:t>for compatibility between T-DAB allotments operating on the same block</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124"/>
        <w:gridCol w:w="1386"/>
        <w:gridCol w:w="2088"/>
        <w:gridCol w:w="2165"/>
        <w:gridCol w:w="2092"/>
      </w:tblGrid>
      <w:tr w:rsidR="00A81711" w:rsidRPr="00A81711" w:rsidTr="00A81711">
        <w:trPr>
          <w:tblHeader/>
        </w:trPr>
        <w:tc>
          <w:tcPr>
            <w:tcW w:w="3510" w:type="dxa"/>
            <w:gridSpan w:val="2"/>
            <w:tcBorders>
              <w:right w:val="single" w:sz="8" w:space="0" w:color="FFFFFF"/>
            </w:tcBorders>
            <w:shd w:val="clear" w:color="auto" w:fill="D2232A"/>
            <w:vAlign w:val="center"/>
          </w:tcPr>
          <w:p w:rsidR="00A81711" w:rsidRPr="00A81711" w:rsidRDefault="00A81711" w:rsidP="00A81711">
            <w:pPr>
              <w:spacing w:line="288" w:lineRule="auto"/>
              <w:jc w:val="center"/>
              <w:rPr>
                <w:b/>
                <w:color w:val="FFFFFF" w:themeColor="background1"/>
                <w:sz w:val="18"/>
                <w:szCs w:val="18"/>
              </w:rPr>
            </w:pPr>
          </w:p>
        </w:tc>
        <w:tc>
          <w:tcPr>
            <w:tcW w:w="2088" w:type="dxa"/>
            <w:tcBorders>
              <w:left w:val="single" w:sz="8" w:space="0" w:color="FFFFFF"/>
              <w:right w:val="single" w:sz="8" w:space="0" w:color="FFFFFF"/>
            </w:tcBorders>
            <w:shd w:val="clear" w:color="auto" w:fill="D2232A"/>
            <w:vAlign w:val="center"/>
          </w:tcPr>
          <w:p w:rsidR="00A81711" w:rsidRPr="00A81711" w:rsidRDefault="00A81711" w:rsidP="00A81711">
            <w:pPr>
              <w:jc w:val="center"/>
              <w:rPr>
                <w:b/>
                <w:bCs/>
                <w:color w:val="FFFFFF" w:themeColor="background1"/>
                <w:sz w:val="18"/>
                <w:szCs w:val="18"/>
              </w:rPr>
            </w:pPr>
            <w:r w:rsidRPr="00A81711">
              <w:rPr>
                <w:b/>
                <w:bCs/>
                <w:color w:val="FFFFFF" w:themeColor="background1"/>
                <w:sz w:val="18"/>
                <w:szCs w:val="18"/>
              </w:rPr>
              <w:t>Reference network 1</w:t>
            </w:r>
            <w:r w:rsidRPr="00A81711">
              <w:rPr>
                <w:b/>
                <w:bCs/>
                <w:color w:val="FFFFFF" w:themeColor="background1"/>
                <w:sz w:val="18"/>
                <w:szCs w:val="18"/>
              </w:rPr>
              <w:br/>
              <w:t xml:space="preserve"> (L-RN1)</w:t>
            </w:r>
          </w:p>
          <w:p w:rsidR="00A81711" w:rsidRPr="00A81711" w:rsidRDefault="00A81711" w:rsidP="00A81711">
            <w:pPr>
              <w:spacing w:line="288" w:lineRule="auto"/>
              <w:jc w:val="center"/>
              <w:rPr>
                <w:b/>
                <w:color w:val="FFFFFF" w:themeColor="background1"/>
                <w:sz w:val="18"/>
                <w:szCs w:val="18"/>
              </w:rPr>
            </w:pPr>
            <w:r w:rsidRPr="00A81711">
              <w:rPr>
                <w:b/>
                <w:bCs/>
                <w:color w:val="FFFFFF" w:themeColor="background1"/>
                <w:sz w:val="18"/>
                <w:szCs w:val="18"/>
              </w:rPr>
              <w:t>receiving interference</w:t>
            </w:r>
          </w:p>
        </w:tc>
        <w:tc>
          <w:tcPr>
            <w:tcW w:w="2165" w:type="dxa"/>
            <w:tcBorders>
              <w:left w:val="single" w:sz="8" w:space="0" w:color="FFFFFF"/>
              <w:right w:val="single" w:sz="8" w:space="0" w:color="FFFFFF"/>
            </w:tcBorders>
            <w:shd w:val="clear" w:color="auto" w:fill="D2232A"/>
            <w:vAlign w:val="center"/>
          </w:tcPr>
          <w:p w:rsidR="00A81711" w:rsidRPr="00A81711" w:rsidRDefault="00A81711" w:rsidP="00A81711">
            <w:pPr>
              <w:jc w:val="center"/>
              <w:rPr>
                <w:b/>
                <w:bCs/>
                <w:color w:val="FFFFFF" w:themeColor="background1"/>
                <w:sz w:val="18"/>
                <w:szCs w:val="18"/>
              </w:rPr>
            </w:pPr>
            <w:r w:rsidRPr="00A81711">
              <w:rPr>
                <w:b/>
                <w:bCs/>
                <w:color w:val="FFFFFF" w:themeColor="background1"/>
                <w:sz w:val="18"/>
                <w:szCs w:val="18"/>
              </w:rPr>
              <w:t xml:space="preserve">Reference network 2 </w:t>
            </w:r>
            <w:r w:rsidRPr="00A81711">
              <w:rPr>
                <w:b/>
                <w:bCs/>
                <w:color w:val="FFFFFF" w:themeColor="background1"/>
                <w:sz w:val="18"/>
                <w:szCs w:val="18"/>
              </w:rPr>
              <w:br/>
              <w:t>(L-RN2)</w:t>
            </w:r>
          </w:p>
          <w:p w:rsidR="00A81711" w:rsidRPr="00A81711" w:rsidRDefault="00A81711" w:rsidP="00A81711">
            <w:pPr>
              <w:spacing w:line="288" w:lineRule="auto"/>
              <w:jc w:val="center"/>
              <w:rPr>
                <w:b/>
                <w:color w:val="FFFFFF" w:themeColor="background1"/>
                <w:sz w:val="18"/>
                <w:szCs w:val="18"/>
              </w:rPr>
            </w:pPr>
            <w:r w:rsidRPr="00A81711">
              <w:rPr>
                <w:b/>
                <w:bCs/>
                <w:color w:val="FFFFFF" w:themeColor="background1"/>
                <w:sz w:val="18"/>
                <w:szCs w:val="18"/>
              </w:rPr>
              <w:t>receiving interference</w:t>
            </w:r>
          </w:p>
        </w:tc>
        <w:tc>
          <w:tcPr>
            <w:tcW w:w="2092" w:type="dxa"/>
            <w:tcBorders>
              <w:left w:val="single" w:sz="8" w:space="0" w:color="FFFFFF"/>
            </w:tcBorders>
            <w:shd w:val="clear" w:color="auto" w:fill="D2232A"/>
            <w:vAlign w:val="center"/>
          </w:tcPr>
          <w:p w:rsidR="00A81711" w:rsidRPr="00A81711" w:rsidRDefault="00A81711" w:rsidP="00A81711">
            <w:pPr>
              <w:jc w:val="center"/>
              <w:rPr>
                <w:b/>
                <w:color w:val="FFFFFF" w:themeColor="background1"/>
                <w:sz w:val="18"/>
                <w:szCs w:val="18"/>
              </w:rPr>
            </w:pPr>
            <w:r w:rsidRPr="00A81711">
              <w:rPr>
                <w:b/>
                <w:bCs/>
                <w:color w:val="FFFFFF" w:themeColor="background1"/>
                <w:sz w:val="18"/>
                <w:szCs w:val="18"/>
              </w:rPr>
              <w:t xml:space="preserve">Reference network 3 </w:t>
            </w:r>
            <w:r w:rsidRPr="00A81711">
              <w:rPr>
                <w:b/>
                <w:bCs/>
                <w:color w:val="FFFFFF" w:themeColor="background1"/>
                <w:sz w:val="18"/>
                <w:szCs w:val="18"/>
              </w:rPr>
              <w:br/>
              <w:t>(L-RN3)</w:t>
            </w:r>
            <w:r w:rsidRPr="00A81711">
              <w:rPr>
                <w:b/>
                <w:bCs/>
                <w:color w:val="FFFFFF" w:themeColor="background1"/>
                <w:sz w:val="18"/>
                <w:szCs w:val="18"/>
              </w:rPr>
              <w:br/>
              <w:t>receiving interference</w:t>
            </w:r>
            <w:r w:rsidRPr="00A81711">
              <w:rPr>
                <w:b/>
                <w:color w:val="FFFFFF" w:themeColor="background1"/>
                <w:sz w:val="18"/>
                <w:szCs w:val="18"/>
              </w:rPr>
              <w:t xml:space="preserve"> </w:t>
            </w:r>
          </w:p>
        </w:tc>
      </w:tr>
      <w:tr w:rsidR="00A81711" w:rsidTr="00A81711">
        <w:tc>
          <w:tcPr>
            <w:tcW w:w="3510" w:type="dxa"/>
            <w:gridSpan w:val="2"/>
            <w:vAlign w:val="center"/>
          </w:tcPr>
          <w:p w:rsidR="00A81711" w:rsidRPr="00A81711" w:rsidRDefault="00A81711" w:rsidP="00A81711">
            <w:pPr>
              <w:spacing w:line="288" w:lineRule="auto"/>
              <w:rPr>
                <w:sz w:val="18"/>
                <w:szCs w:val="18"/>
              </w:rPr>
            </w:pPr>
            <w:r w:rsidRPr="00A81711">
              <w:rPr>
                <w:sz w:val="18"/>
                <w:szCs w:val="18"/>
              </w:rPr>
              <w:t>Maximum permissible co-block interfering field strength (dB</w:t>
            </w:r>
            <w:r w:rsidRPr="00A81711">
              <w:rPr>
                <w:sz w:val="18"/>
                <w:szCs w:val="18"/>
              </w:rPr>
              <w:sym w:font="Symbol" w:char="F06D"/>
            </w:r>
            <w:r w:rsidRPr="00A81711">
              <w:rPr>
                <w:sz w:val="18"/>
                <w:szCs w:val="18"/>
              </w:rPr>
              <w:t>V/m)</w:t>
            </w:r>
          </w:p>
        </w:tc>
        <w:tc>
          <w:tcPr>
            <w:tcW w:w="2088" w:type="dxa"/>
            <w:vAlign w:val="center"/>
          </w:tcPr>
          <w:p w:rsidR="00A81711" w:rsidRPr="00A81711" w:rsidRDefault="00A81711" w:rsidP="00A81711">
            <w:pPr>
              <w:jc w:val="center"/>
              <w:rPr>
                <w:sz w:val="18"/>
                <w:szCs w:val="18"/>
              </w:rPr>
            </w:pPr>
            <w:r w:rsidRPr="00A81711">
              <w:rPr>
                <w:sz w:val="18"/>
                <w:szCs w:val="18"/>
              </w:rPr>
              <w:t>41 dB</w:t>
            </w:r>
            <w:r w:rsidRPr="00A81711">
              <w:rPr>
                <w:sz w:val="18"/>
                <w:szCs w:val="18"/>
              </w:rPr>
              <w:sym w:font="Symbol" w:char="F06D"/>
            </w:r>
            <w:r w:rsidRPr="00A81711">
              <w:rPr>
                <w:sz w:val="18"/>
                <w:szCs w:val="18"/>
              </w:rPr>
              <w:t xml:space="preserve">V/m </w:t>
            </w:r>
          </w:p>
        </w:tc>
        <w:tc>
          <w:tcPr>
            <w:tcW w:w="2165" w:type="dxa"/>
            <w:vAlign w:val="center"/>
          </w:tcPr>
          <w:p w:rsidR="00A81711" w:rsidRPr="00A81711" w:rsidRDefault="00A81711" w:rsidP="00A81711">
            <w:pPr>
              <w:jc w:val="center"/>
              <w:rPr>
                <w:sz w:val="18"/>
                <w:szCs w:val="18"/>
              </w:rPr>
            </w:pPr>
            <w:r w:rsidRPr="00A81711">
              <w:rPr>
                <w:sz w:val="18"/>
                <w:szCs w:val="18"/>
              </w:rPr>
              <w:t>43 dB</w:t>
            </w:r>
            <w:r w:rsidRPr="00A81711">
              <w:rPr>
                <w:sz w:val="18"/>
                <w:szCs w:val="18"/>
              </w:rPr>
              <w:sym w:font="Symbol" w:char="F06D"/>
            </w:r>
            <w:r w:rsidRPr="00A81711">
              <w:rPr>
                <w:sz w:val="18"/>
                <w:szCs w:val="18"/>
              </w:rPr>
              <w:t xml:space="preserve">V/m </w:t>
            </w:r>
          </w:p>
        </w:tc>
        <w:tc>
          <w:tcPr>
            <w:tcW w:w="2092" w:type="dxa"/>
            <w:vAlign w:val="center"/>
          </w:tcPr>
          <w:p w:rsidR="00A81711" w:rsidRPr="00A81711" w:rsidRDefault="00A81711" w:rsidP="00A81711">
            <w:pPr>
              <w:jc w:val="center"/>
              <w:rPr>
                <w:sz w:val="18"/>
                <w:szCs w:val="18"/>
              </w:rPr>
            </w:pPr>
            <w:r w:rsidRPr="00A81711">
              <w:rPr>
                <w:sz w:val="18"/>
                <w:szCs w:val="18"/>
              </w:rPr>
              <w:t>45 dB</w:t>
            </w:r>
            <w:r w:rsidRPr="00A81711">
              <w:rPr>
                <w:sz w:val="18"/>
                <w:szCs w:val="18"/>
              </w:rPr>
              <w:sym w:font="Symbol" w:char="F06D"/>
            </w:r>
            <w:r w:rsidRPr="00A81711">
              <w:rPr>
                <w:sz w:val="18"/>
                <w:szCs w:val="18"/>
              </w:rPr>
              <w:t xml:space="preserve">V/m </w:t>
            </w:r>
          </w:p>
        </w:tc>
      </w:tr>
      <w:tr w:rsidR="00A81711" w:rsidTr="00A81711">
        <w:tc>
          <w:tcPr>
            <w:tcW w:w="2124" w:type="dxa"/>
            <w:vMerge w:val="restart"/>
            <w:vAlign w:val="center"/>
          </w:tcPr>
          <w:p w:rsidR="00A81711" w:rsidRPr="00A81711" w:rsidRDefault="00A81711" w:rsidP="00A81711">
            <w:pPr>
              <w:spacing w:line="288" w:lineRule="auto"/>
              <w:rPr>
                <w:sz w:val="18"/>
                <w:szCs w:val="18"/>
              </w:rPr>
            </w:pPr>
            <w:r w:rsidRPr="00A81711">
              <w:rPr>
                <w:b/>
                <w:bCs/>
                <w:sz w:val="18"/>
                <w:szCs w:val="18"/>
              </w:rPr>
              <w:t>Reference network 1 (L-RN1) as interferer</w:t>
            </w:r>
          </w:p>
        </w:tc>
        <w:tc>
          <w:tcPr>
            <w:tcW w:w="1386" w:type="dxa"/>
          </w:tcPr>
          <w:p w:rsidR="00A81711" w:rsidRPr="00A81711" w:rsidRDefault="00A81711" w:rsidP="00A81711">
            <w:pPr>
              <w:rPr>
                <w:sz w:val="18"/>
                <w:szCs w:val="18"/>
              </w:rPr>
            </w:pPr>
            <w:r w:rsidRPr="00A81711">
              <w:rPr>
                <w:sz w:val="18"/>
                <w:szCs w:val="18"/>
              </w:rPr>
              <w:t>Land</w:t>
            </w:r>
          </w:p>
        </w:tc>
        <w:tc>
          <w:tcPr>
            <w:tcW w:w="2088" w:type="dxa"/>
            <w:vAlign w:val="center"/>
          </w:tcPr>
          <w:p w:rsidR="00A81711" w:rsidRPr="00A81711" w:rsidRDefault="00A81711" w:rsidP="00A81711">
            <w:pPr>
              <w:jc w:val="center"/>
              <w:rPr>
                <w:sz w:val="18"/>
                <w:szCs w:val="18"/>
              </w:rPr>
            </w:pPr>
            <w:r w:rsidRPr="00A81711">
              <w:rPr>
                <w:sz w:val="18"/>
                <w:szCs w:val="18"/>
              </w:rPr>
              <w:t>50 km</w:t>
            </w:r>
          </w:p>
        </w:tc>
        <w:tc>
          <w:tcPr>
            <w:tcW w:w="2165" w:type="dxa"/>
            <w:vAlign w:val="center"/>
          </w:tcPr>
          <w:p w:rsidR="00A81711" w:rsidRPr="00A81711" w:rsidRDefault="00A81711" w:rsidP="00A81711">
            <w:pPr>
              <w:jc w:val="center"/>
              <w:rPr>
                <w:sz w:val="18"/>
                <w:szCs w:val="18"/>
              </w:rPr>
            </w:pPr>
            <w:r w:rsidRPr="00A81711">
              <w:rPr>
                <w:sz w:val="18"/>
                <w:szCs w:val="18"/>
              </w:rPr>
              <w:t>44 km</w:t>
            </w:r>
          </w:p>
        </w:tc>
        <w:tc>
          <w:tcPr>
            <w:tcW w:w="2092" w:type="dxa"/>
            <w:vAlign w:val="center"/>
          </w:tcPr>
          <w:p w:rsidR="00A81711" w:rsidRPr="00A81711" w:rsidRDefault="00A81711" w:rsidP="00A81711">
            <w:pPr>
              <w:jc w:val="center"/>
              <w:rPr>
                <w:sz w:val="18"/>
                <w:szCs w:val="18"/>
              </w:rPr>
            </w:pPr>
            <w:r w:rsidRPr="00A81711">
              <w:rPr>
                <w:sz w:val="18"/>
                <w:szCs w:val="18"/>
              </w:rPr>
              <w:t>38 km</w:t>
            </w:r>
          </w:p>
        </w:tc>
      </w:tr>
      <w:tr w:rsidR="00A81711" w:rsidTr="00A81711">
        <w:tc>
          <w:tcPr>
            <w:tcW w:w="2124" w:type="dxa"/>
            <w:vMerge/>
            <w:vAlign w:val="center"/>
          </w:tcPr>
          <w:p w:rsidR="00A81711" w:rsidRPr="00A81711" w:rsidRDefault="00A81711" w:rsidP="00A81711">
            <w:pPr>
              <w:spacing w:line="288" w:lineRule="auto"/>
              <w:rPr>
                <w:sz w:val="18"/>
                <w:szCs w:val="18"/>
              </w:rPr>
            </w:pPr>
          </w:p>
        </w:tc>
        <w:tc>
          <w:tcPr>
            <w:tcW w:w="1386" w:type="dxa"/>
          </w:tcPr>
          <w:p w:rsidR="00A81711" w:rsidRPr="00A81711" w:rsidRDefault="00A81711" w:rsidP="00A81711">
            <w:pPr>
              <w:rPr>
                <w:sz w:val="18"/>
                <w:szCs w:val="18"/>
              </w:rPr>
            </w:pPr>
            <w:r w:rsidRPr="00A81711">
              <w:rPr>
                <w:sz w:val="18"/>
                <w:szCs w:val="18"/>
              </w:rPr>
              <w:t>Cold sea</w:t>
            </w:r>
          </w:p>
        </w:tc>
        <w:tc>
          <w:tcPr>
            <w:tcW w:w="2088" w:type="dxa"/>
            <w:vAlign w:val="center"/>
          </w:tcPr>
          <w:p w:rsidR="00A81711" w:rsidRPr="00A81711" w:rsidRDefault="00A81711" w:rsidP="00A81711">
            <w:pPr>
              <w:jc w:val="center"/>
              <w:rPr>
                <w:sz w:val="18"/>
                <w:szCs w:val="18"/>
              </w:rPr>
            </w:pPr>
            <w:r w:rsidRPr="00A81711">
              <w:rPr>
                <w:sz w:val="18"/>
                <w:szCs w:val="18"/>
              </w:rPr>
              <w:t>314 km</w:t>
            </w:r>
          </w:p>
        </w:tc>
        <w:tc>
          <w:tcPr>
            <w:tcW w:w="2165" w:type="dxa"/>
            <w:vAlign w:val="center"/>
          </w:tcPr>
          <w:p w:rsidR="00A81711" w:rsidRPr="00A81711" w:rsidRDefault="00A81711" w:rsidP="00A81711">
            <w:pPr>
              <w:jc w:val="center"/>
              <w:rPr>
                <w:sz w:val="18"/>
                <w:szCs w:val="18"/>
              </w:rPr>
            </w:pPr>
            <w:r w:rsidRPr="00A81711">
              <w:rPr>
                <w:sz w:val="18"/>
                <w:szCs w:val="18"/>
              </w:rPr>
              <w:t>290 km</w:t>
            </w:r>
          </w:p>
        </w:tc>
        <w:tc>
          <w:tcPr>
            <w:tcW w:w="2092" w:type="dxa"/>
            <w:vAlign w:val="center"/>
          </w:tcPr>
          <w:p w:rsidR="00A81711" w:rsidRPr="00A81711" w:rsidRDefault="00A81711" w:rsidP="00A81711">
            <w:pPr>
              <w:jc w:val="center"/>
              <w:rPr>
                <w:sz w:val="18"/>
                <w:szCs w:val="18"/>
              </w:rPr>
            </w:pPr>
            <w:r w:rsidRPr="00A81711">
              <w:rPr>
                <w:sz w:val="18"/>
                <w:szCs w:val="18"/>
              </w:rPr>
              <w:t>269 km</w:t>
            </w:r>
          </w:p>
        </w:tc>
      </w:tr>
      <w:tr w:rsidR="00A81711" w:rsidTr="00A81711">
        <w:tc>
          <w:tcPr>
            <w:tcW w:w="2124" w:type="dxa"/>
            <w:vMerge/>
            <w:vAlign w:val="center"/>
          </w:tcPr>
          <w:p w:rsidR="00A81711" w:rsidRPr="00A81711" w:rsidRDefault="00A81711" w:rsidP="00A81711">
            <w:pPr>
              <w:spacing w:line="288" w:lineRule="auto"/>
              <w:rPr>
                <w:sz w:val="18"/>
                <w:szCs w:val="18"/>
              </w:rPr>
            </w:pPr>
          </w:p>
        </w:tc>
        <w:tc>
          <w:tcPr>
            <w:tcW w:w="1386" w:type="dxa"/>
          </w:tcPr>
          <w:p w:rsidR="00A81711" w:rsidRPr="00A81711" w:rsidRDefault="00A81711" w:rsidP="00A81711">
            <w:pPr>
              <w:rPr>
                <w:sz w:val="18"/>
                <w:szCs w:val="18"/>
              </w:rPr>
            </w:pPr>
            <w:r w:rsidRPr="00A81711">
              <w:rPr>
                <w:sz w:val="18"/>
                <w:szCs w:val="18"/>
              </w:rPr>
              <w:t>Warm sea</w:t>
            </w:r>
          </w:p>
        </w:tc>
        <w:tc>
          <w:tcPr>
            <w:tcW w:w="2088" w:type="dxa"/>
            <w:vAlign w:val="center"/>
          </w:tcPr>
          <w:p w:rsidR="00A81711" w:rsidRPr="00A81711" w:rsidRDefault="00A81711" w:rsidP="00A81711">
            <w:pPr>
              <w:jc w:val="center"/>
              <w:rPr>
                <w:sz w:val="18"/>
                <w:szCs w:val="18"/>
              </w:rPr>
            </w:pPr>
            <w:r w:rsidRPr="00A81711">
              <w:rPr>
                <w:sz w:val="18"/>
                <w:szCs w:val="18"/>
              </w:rPr>
              <w:t>434 km</w:t>
            </w:r>
          </w:p>
        </w:tc>
        <w:tc>
          <w:tcPr>
            <w:tcW w:w="2165" w:type="dxa"/>
            <w:vAlign w:val="center"/>
          </w:tcPr>
          <w:p w:rsidR="00A81711" w:rsidRPr="00A81711" w:rsidRDefault="00A81711" w:rsidP="00A81711">
            <w:pPr>
              <w:jc w:val="center"/>
              <w:rPr>
                <w:sz w:val="18"/>
                <w:szCs w:val="18"/>
              </w:rPr>
            </w:pPr>
            <w:r w:rsidRPr="00A81711">
              <w:rPr>
                <w:sz w:val="18"/>
                <w:szCs w:val="18"/>
              </w:rPr>
              <w:t>392 km</w:t>
            </w:r>
          </w:p>
        </w:tc>
        <w:tc>
          <w:tcPr>
            <w:tcW w:w="2092" w:type="dxa"/>
            <w:vAlign w:val="center"/>
          </w:tcPr>
          <w:p w:rsidR="00A81711" w:rsidRPr="00A81711" w:rsidRDefault="00A81711" w:rsidP="00A81711">
            <w:pPr>
              <w:jc w:val="center"/>
              <w:rPr>
                <w:sz w:val="18"/>
                <w:szCs w:val="18"/>
              </w:rPr>
            </w:pPr>
            <w:r w:rsidRPr="00A81711">
              <w:rPr>
                <w:sz w:val="18"/>
                <w:szCs w:val="18"/>
              </w:rPr>
              <w:t>350 km</w:t>
            </w:r>
          </w:p>
        </w:tc>
      </w:tr>
      <w:tr w:rsidR="00A81711" w:rsidTr="00A81711">
        <w:tc>
          <w:tcPr>
            <w:tcW w:w="2124" w:type="dxa"/>
            <w:vMerge w:val="restart"/>
            <w:vAlign w:val="center"/>
          </w:tcPr>
          <w:p w:rsidR="00A81711" w:rsidRPr="00A81711" w:rsidRDefault="00A81711" w:rsidP="00A81711">
            <w:pPr>
              <w:spacing w:line="288" w:lineRule="auto"/>
              <w:rPr>
                <w:sz w:val="18"/>
                <w:szCs w:val="18"/>
              </w:rPr>
            </w:pPr>
            <w:r w:rsidRPr="00A81711">
              <w:rPr>
                <w:b/>
                <w:bCs/>
                <w:sz w:val="18"/>
                <w:szCs w:val="18"/>
              </w:rPr>
              <w:t>Reference network 2 (L-RN2) as interferer</w:t>
            </w:r>
          </w:p>
        </w:tc>
        <w:tc>
          <w:tcPr>
            <w:tcW w:w="1386" w:type="dxa"/>
          </w:tcPr>
          <w:p w:rsidR="00A81711" w:rsidRPr="00A81711" w:rsidRDefault="00A81711" w:rsidP="00A81711">
            <w:pPr>
              <w:rPr>
                <w:sz w:val="18"/>
                <w:szCs w:val="18"/>
              </w:rPr>
            </w:pPr>
            <w:r w:rsidRPr="00A81711">
              <w:rPr>
                <w:sz w:val="18"/>
                <w:szCs w:val="18"/>
              </w:rPr>
              <w:t>Land</w:t>
            </w:r>
          </w:p>
        </w:tc>
        <w:tc>
          <w:tcPr>
            <w:tcW w:w="2088" w:type="dxa"/>
            <w:vAlign w:val="center"/>
          </w:tcPr>
          <w:p w:rsidR="00A81711" w:rsidRPr="00A81711" w:rsidRDefault="00A81711" w:rsidP="00A81711">
            <w:pPr>
              <w:jc w:val="center"/>
              <w:rPr>
                <w:sz w:val="18"/>
                <w:szCs w:val="18"/>
              </w:rPr>
            </w:pPr>
            <w:r w:rsidRPr="00A81711">
              <w:rPr>
                <w:sz w:val="18"/>
                <w:szCs w:val="18"/>
              </w:rPr>
              <w:t>39 km</w:t>
            </w:r>
          </w:p>
        </w:tc>
        <w:tc>
          <w:tcPr>
            <w:tcW w:w="2165" w:type="dxa"/>
            <w:vAlign w:val="center"/>
          </w:tcPr>
          <w:p w:rsidR="00A81711" w:rsidRPr="00A81711" w:rsidRDefault="00A81711" w:rsidP="00A81711">
            <w:pPr>
              <w:jc w:val="center"/>
              <w:rPr>
                <w:sz w:val="18"/>
                <w:szCs w:val="18"/>
              </w:rPr>
            </w:pPr>
            <w:r w:rsidRPr="00A81711">
              <w:rPr>
                <w:sz w:val="18"/>
                <w:szCs w:val="18"/>
              </w:rPr>
              <w:t>34 km</w:t>
            </w:r>
          </w:p>
        </w:tc>
        <w:tc>
          <w:tcPr>
            <w:tcW w:w="2092" w:type="dxa"/>
            <w:vAlign w:val="center"/>
          </w:tcPr>
          <w:p w:rsidR="00A81711" w:rsidRPr="00A81711" w:rsidRDefault="00A81711" w:rsidP="00A81711">
            <w:pPr>
              <w:jc w:val="center"/>
              <w:rPr>
                <w:sz w:val="18"/>
                <w:szCs w:val="18"/>
              </w:rPr>
            </w:pPr>
            <w:r w:rsidRPr="00A81711">
              <w:rPr>
                <w:sz w:val="18"/>
                <w:szCs w:val="18"/>
              </w:rPr>
              <w:t>30 km</w:t>
            </w:r>
          </w:p>
        </w:tc>
      </w:tr>
      <w:tr w:rsidR="00A81711" w:rsidTr="00A81711">
        <w:tc>
          <w:tcPr>
            <w:tcW w:w="2124" w:type="dxa"/>
            <w:vMerge/>
            <w:vAlign w:val="center"/>
          </w:tcPr>
          <w:p w:rsidR="00A81711" w:rsidRPr="00A81711" w:rsidRDefault="00A81711" w:rsidP="00A81711">
            <w:pPr>
              <w:spacing w:line="288" w:lineRule="auto"/>
              <w:rPr>
                <w:sz w:val="18"/>
                <w:szCs w:val="18"/>
              </w:rPr>
            </w:pPr>
          </w:p>
        </w:tc>
        <w:tc>
          <w:tcPr>
            <w:tcW w:w="1386" w:type="dxa"/>
          </w:tcPr>
          <w:p w:rsidR="00A81711" w:rsidRPr="00A81711" w:rsidRDefault="00A81711" w:rsidP="00A81711">
            <w:pPr>
              <w:rPr>
                <w:sz w:val="18"/>
                <w:szCs w:val="18"/>
              </w:rPr>
            </w:pPr>
            <w:r w:rsidRPr="00A81711">
              <w:rPr>
                <w:sz w:val="18"/>
                <w:szCs w:val="18"/>
              </w:rPr>
              <w:t>Cold sea</w:t>
            </w:r>
          </w:p>
        </w:tc>
        <w:tc>
          <w:tcPr>
            <w:tcW w:w="2088" w:type="dxa"/>
            <w:vAlign w:val="center"/>
          </w:tcPr>
          <w:p w:rsidR="00A81711" w:rsidRPr="00A81711" w:rsidRDefault="00A81711" w:rsidP="00A81711">
            <w:pPr>
              <w:jc w:val="center"/>
              <w:rPr>
                <w:sz w:val="18"/>
                <w:szCs w:val="18"/>
              </w:rPr>
            </w:pPr>
            <w:r w:rsidRPr="00A81711">
              <w:rPr>
                <w:sz w:val="18"/>
                <w:szCs w:val="18"/>
              </w:rPr>
              <w:t>341 km</w:t>
            </w:r>
          </w:p>
        </w:tc>
        <w:tc>
          <w:tcPr>
            <w:tcW w:w="2165" w:type="dxa"/>
            <w:vAlign w:val="center"/>
          </w:tcPr>
          <w:p w:rsidR="00A81711" w:rsidRPr="00A81711" w:rsidRDefault="00A81711" w:rsidP="00A81711">
            <w:pPr>
              <w:jc w:val="center"/>
              <w:rPr>
                <w:sz w:val="18"/>
                <w:szCs w:val="18"/>
              </w:rPr>
            </w:pPr>
            <w:r w:rsidRPr="00A81711">
              <w:rPr>
                <w:sz w:val="18"/>
                <w:szCs w:val="18"/>
              </w:rPr>
              <w:t>318 km</w:t>
            </w:r>
          </w:p>
        </w:tc>
        <w:tc>
          <w:tcPr>
            <w:tcW w:w="2092" w:type="dxa"/>
            <w:vAlign w:val="center"/>
          </w:tcPr>
          <w:p w:rsidR="00A81711" w:rsidRPr="00A81711" w:rsidRDefault="00A81711" w:rsidP="00A81711">
            <w:pPr>
              <w:jc w:val="center"/>
              <w:rPr>
                <w:sz w:val="18"/>
                <w:szCs w:val="18"/>
              </w:rPr>
            </w:pPr>
            <w:r w:rsidRPr="00A81711">
              <w:rPr>
                <w:sz w:val="18"/>
                <w:szCs w:val="18"/>
              </w:rPr>
              <w:t>297 km</w:t>
            </w:r>
          </w:p>
        </w:tc>
      </w:tr>
      <w:tr w:rsidR="00A81711" w:rsidTr="00A81711">
        <w:tc>
          <w:tcPr>
            <w:tcW w:w="2124" w:type="dxa"/>
            <w:vMerge/>
            <w:vAlign w:val="center"/>
          </w:tcPr>
          <w:p w:rsidR="00A81711" w:rsidRPr="00A81711" w:rsidRDefault="00A81711" w:rsidP="00A81711">
            <w:pPr>
              <w:spacing w:line="288" w:lineRule="auto"/>
              <w:rPr>
                <w:sz w:val="18"/>
                <w:szCs w:val="18"/>
              </w:rPr>
            </w:pPr>
          </w:p>
        </w:tc>
        <w:tc>
          <w:tcPr>
            <w:tcW w:w="1386" w:type="dxa"/>
          </w:tcPr>
          <w:p w:rsidR="00A81711" w:rsidRPr="00A81711" w:rsidRDefault="00A81711" w:rsidP="00A81711">
            <w:pPr>
              <w:rPr>
                <w:sz w:val="18"/>
                <w:szCs w:val="18"/>
              </w:rPr>
            </w:pPr>
            <w:r w:rsidRPr="00A81711">
              <w:rPr>
                <w:sz w:val="18"/>
                <w:szCs w:val="18"/>
              </w:rPr>
              <w:t>Warm sea</w:t>
            </w:r>
          </w:p>
        </w:tc>
        <w:tc>
          <w:tcPr>
            <w:tcW w:w="2088" w:type="dxa"/>
            <w:vAlign w:val="center"/>
          </w:tcPr>
          <w:p w:rsidR="00A81711" w:rsidRPr="00A81711" w:rsidRDefault="00A81711" w:rsidP="00A81711">
            <w:pPr>
              <w:jc w:val="center"/>
              <w:rPr>
                <w:sz w:val="18"/>
                <w:szCs w:val="18"/>
              </w:rPr>
            </w:pPr>
            <w:r w:rsidRPr="00A81711">
              <w:rPr>
                <w:sz w:val="18"/>
                <w:szCs w:val="18"/>
              </w:rPr>
              <w:t>466 km</w:t>
            </w:r>
          </w:p>
        </w:tc>
        <w:tc>
          <w:tcPr>
            <w:tcW w:w="2165" w:type="dxa"/>
            <w:vAlign w:val="center"/>
          </w:tcPr>
          <w:p w:rsidR="00A81711" w:rsidRPr="00A81711" w:rsidRDefault="00A81711" w:rsidP="00A81711">
            <w:pPr>
              <w:jc w:val="center"/>
              <w:rPr>
                <w:sz w:val="18"/>
                <w:szCs w:val="18"/>
              </w:rPr>
            </w:pPr>
            <w:r w:rsidRPr="00A81711">
              <w:rPr>
                <w:sz w:val="18"/>
                <w:szCs w:val="18"/>
              </w:rPr>
              <w:t>426 km</w:t>
            </w:r>
          </w:p>
        </w:tc>
        <w:tc>
          <w:tcPr>
            <w:tcW w:w="2092" w:type="dxa"/>
            <w:vAlign w:val="center"/>
          </w:tcPr>
          <w:p w:rsidR="00A81711" w:rsidRPr="00A81711" w:rsidRDefault="00A81711" w:rsidP="00A81711">
            <w:pPr>
              <w:jc w:val="center"/>
              <w:rPr>
                <w:sz w:val="18"/>
                <w:szCs w:val="18"/>
              </w:rPr>
            </w:pPr>
            <w:r w:rsidRPr="00A81711">
              <w:rPr>
                <w:sz w:val="18"/>
                <w:szCs w:val="18"/>
              </w:rPr>
              <w:t>386 km</w:t>
            </w:r>
          </w:p>
        </w:tc>
      </w:tr>
      <w:tr w:rsidR="00A81711" w:rsidTr="00A81711">
        <w:tc>
          <w:tcPr>
            <w:tcW w:w="2124" w:type="dxa"/>
            <w:vMerge w:val="restart"/>
            <w:vAlign w:val="center"/>
          </w:tcPr>
          <w:p w:rsidR="00A81711" w:rsidRPr="00A81711" w:rsidRDefault="00A81711" w:rsidP="00A81711">
            <w:pPr>
              <w:spacing w:line="288" w:lineRule="auto"/>
              <w:rPr>
                <w:sz w:val="18"/>
                <w:szCs w:val="18"/>
              </w:rPr>
            </w:pPr>
            <w:r w:rsidRPr="00A81711">
              <w:rPr>
                <w:b/>
                <w:bCs/>
                <w:sz w:val="18"/>
                <w:szCs w:val="18"/>
              </w:rPr>
              <w:t>Reference network 3 (L-RN3) as interferer</w:t>
            </w:r>
          </w:p>
        </w:tc>
        <w:tc>
          <w:tcPr>
            <w:tcW w:w="1386" w:type="dxa"/>
          </w:tcPr>
          <w:p w:rsidR="00A81711" w:rsidRPr="00A81711" w:rsidRDefault="00A81711" w:rsidP="00A81711">
            <w:pPr>
              <w:rPr>
                <w:sz w:val="18"/>
                <w:szCs w:val="18"/>
              </w:rPr>
            </w:pPr>
            <w:r w:rsidRPr="00A81711">
              <w:rPr>
                <w:sz w:val="18"/>
                <w:szCs w:val="18"/>
              </w:rPr>
              <w:t>Land</w:t>
            </w:r>
          </w:p>
        </w:tc>
        <w:tc>
          <w:tcPr>
            <w:tcW w:w="2088" w:type="dxa"/>
            <w:vAlign w:val="center"/>
          </w:tcPr>
          <w:p w:rsidR="00A81711" w:rsidRPr="00A81711" w:rsidRDefault="00A81711" w:rsidP="00A81711">
            <w:pPr>
              <w:jc w:val="center"/>
              <w:rPr>
                <w:sz w:val="18"/>
                <w:szCs w:val="18"/>
              </w:rPr>
            </w:pPr>
            <w:r w:rsidRPr="00A81711">
              <w:rPr>
                <w:sz w:val="18"/>
                <w:szCs w:val="18"/>
              </w:rPr>
              <w:t>23 km</w:t>
            </w:r>
          </w:p>
        </w:tc>
        <w:tc>
          <w:tcPr>
            <w:tcW w:w="2165" w:type="dxa"/>
            <w:vAlign w:val="center"/>
          </w:tcPr>
          <w:p w:rsidR="00A81711" w:rsidRPr="00A81711" w:rsidRDefault="00A81711" w:rsidP="00A81711">
            <w:pPr>
              <w:jc w:val="center"/>
              <w:rPr>
                <w:sz w:val="18"/>
                <w:szCs w:val="18"/>
              </w:rPr>
            </w:pPr>
            <w:r w:rsidRPr="00A81711">
              <w:rPr>
                <w:sz w:val="18"/>
                <w:szCs w:val="18"/>
              </w:rPr>
              <w:t>20 km</w:t>
            </w:r>
          </w:p>
        </w:tc>
        <w:tc>
          <w:tcPr>
            <w:tcW w:w="2092" w:type="dxa"/>
            <w:vAlign w:val="center"/>
          </w:tcPr>
          <w:p w:rsidR="00A81711" w:rsidRPr="00A81711" w:rsidRDefault="00A81711" w:rsidP="00A81711">
            <w:pPr>
              <w:jc w:val="center"/>
              <w:rPr>
                <w:sz w:val="18"/>
                <w:szCs w:val="18"/>
              </w:rPr>
            </w:pPr>
            <w:r w:rsidRPr="00A81711">
              <w:rPr>
                <w:sz w:val="18"/>
                <w:szCs w:val="18"/>
              </w:rPr>
              <w:t>17 km</w:t>
            </w:r>
          </w:p>
        </w:tc>
      </w:tr>
      <w:tr w:rsidR="00A81711" w:rsidTr="00A81711">
        <w:tc>
          <w:tcPr>
            <w:tcW w:w="2124" w:type="dxa"/>
            <w:vMerge/>
            <w:vAlign w:val="center"/>
          </w:tcPr>
          <w:p w:rsidR="00A81711" w:rsidRPr="00A81711" w:rsidRDefault="00A81711" w:rsidP="00A81711">
            <w:pPr>
              <w:spacing w:line="288" w:lineRule="auto"/>
              <w:rPr>
                <w:sz w:val="18"/>
                <w:szCs w:val="18"/>
              </w:rPr>
            </w:pPr>
          </w:p>
        </w:tc>
        <w:tc>
          <w:tcPr>
            <w:tcW w:w="1386" w:type="dxa"/>
          </w:tcPr>
          <w:p w:rsidR="00A81711" w:rsidRPr="00A81711" w:rsidRDefault="00A81711" w:rsidP="00A81711">
            <w:pPr>
              <w:rPr>
                <w:sz w:val="18"/>
                <w:szCs w:val="18"/>
              </w:rPr>
            </w:pPr>
            <w:r w:rsidRPr="00A81711">
              <w:rPr>
                <w:sz w:val="18"/>
                <w:szCs w:val="18"/>
              </w:rPr>
              <w:t>Cold sea</w:t>
            </w:r>
          </w:p>
        </w:tc>
        <w:tc>
          <w:tcPr>
            <w:tcW w:w="2088" w:type="dxa"/>
            <w:vAlign w:val="center"/>
          </w:tcPr>
          <w:p w:rsidR="00A81711" w:rsidRPr="00A81711" w:rsidRDefault="00A81711" w:rsidP="00A81711">
            <w:pPr>
              <w:jc w:val="center"/>
              <w:rPr>
                <w:sz w:val="18"/>
                <w:szCs w:val="18"/>
              </w:rPr>
            </w:pPr>
            <w:r w:rsidRPr="00A81711">
              <w:rPr>
                <w:sz w:val="18"/>
                <w:szCs w:val="18"/>
              </w:rPr>
              <w:t>292 km</w:t>
            </w:r>
          </w:p>
        </w:tc>
        <w:tc>
          <w:tcPr>
            <w:tcW w:w="2165" w:type="dxa"/>
            <w:vAlign w:val="center"/>
          </w:tcPr>
          <w:p w:rsidR="00A81711" w:rsidRPr="00A81711" w:rsidRDefault="00A81711" w:rsidP="00A81711">
            <w:pPr>
              <w:jc w:val="center"/>
              <w:rPr>
                <w:sz w:val="18"/>
                <w:szCs w:val="18"/>
              </w:rPr>
            </w:pPr>
            <w:r w:rsidRPr="00A81711">
              <w:rPr>
                <w:sz w:val="18"/>
                <w:szCs w:val="18"/>
              </w:rPr>
              <w:t>272 km</w:t>
            </w:r>
          </w:p>
        </w:tc>
        <w:tc>
          <w:tcPr>
            <w:tcW w:w="2092" w:type="dxa"/>
            <w:vAlign w:val="center"/>
          </w:tcPr>
          <w:p w:rsidR="00A81711" w:rsidRPr="00A81711" w:rsidRDefault="00A81711" w:rsidP="00A81711">
            <w:pPr>
              <w:jc w:val="center"/>
              <w:rPr>
                <w:sz w:val="18"/>
                <w:szCs w:val="18"/>
              </w:rPr>
            </w:pPr>
            <w:r w:rsidRPr="00A81711">
              <w:rPr>
                <w:sz w:val="18"/>
                <w:szCs w:val="18"/>
              </w:rPr>
              <w:t>255 km</w:t>
            </w:r>
          </w:p>
        </w:tc>
      </w:tr>
      <w:tr w:rsidR="00A81711" w:rsidTr="00A81711">
        <w:tc>
          <w:tcPr>
            <w:tcW w:w="2124" w:type="dxa"/>
            <w:vMerge/>
            <w:vAlign w:val="center"/>
          </w:tcPr>
          <w:p w:rsidR="00A81711" w:rsidRPr="00A81711" w:rsidRDefault="00A81711" w:rsidP="00A81711">
            <w:pPr>
              <w:spacing w:line="288" w:lineRule="auto"/>
              <w:rPr>
                <w:sz w:val="18"/>
                <w:szCs w:val="18"/>
              </w:rPr>
            </w:pPr>
          </w:p>
        </w:tc>
        <w:tc>
          <w:tcPr>
            <w:tcW w:w="1386" w:type="dxa"/>
          </w:tcPr>
          <w:p w:rsidR="00A81711" w:rsidRPr="00A81711" w:rsidRDefault="00A81711" w:rsidP="00A81711">
            <w:pPr>
              <w:rPr>
                <w:sz w:val="18"/>
                <w:szCs w:val="18"/>
              </w:rPr>
            </w:pPr>
            <w:r w:rsidRPr="00A81711">
              <w:rPr>
                <w:sz w:val="18"/>
                <w:szCs w:val="18"/>
              </w:rPr>
              <w:t>Warm sea</w:t>
            </w:r>
          </w:p>
        </w:tc>
        <w:tc>
          <w:tcPr>
            <w:tcW w:w="2088" w:type="dxa"/>
            <w:vAlign w:val="center"/>
          </w:tcPr>
          <w:p w:rsidR="00A81711" w:rsidRPr="00A81711" w:rsidRDefault="00A81711" w:rsidP="00A81711">
            <w:pPr>
              <w:jc w:val="center"/>
              <w:rPr>
                <w:sz w:val="18"/>
                <w:szCs w:val="18"/>
              </w:rPr>
            </w:pPr>
            <w:r w:rsidRPr="00A81711">
              <w:rPr>
                <w:sz w:val="18"/>
                <w:szCs w:val="18"/>
              </w:rPr>
              <w:t>388 km</w:t>
            </w:r>
          </w:p>
        </w:tc>
        <w:tc>
          <w:tcPr>
            <w:tcW w:w="2165" w:type="dxa"/>
            <w:vAlign w:val="center"/>
          </w:tcPr>
          <w:p w:rsidR="00A81711" w:rsidRPr="00A81711" w:rsidRDefault="00A81711" w:rsidP="00A81711">
            <w:pPr>
              <w:jc w:val="center"/>
              <w:rPr>
                <w:sz w:val="18"/>
                <w:szCs w:val="18"/>
              </w:rPr>
            </w:pPr>
            <w:r w:rsidRPr="00A81711">
              <w:rPr>
                <w:sz w:val="18"/>
                <w:szCs w:val="18"/>
              </w:rPr>
              <w:t>348 km</w:t>
            </w:r>
          </w:p>
        </w:tc>
        <w:tc>
          <w:tcPr>
            <w:tcW w:w="2092" w:type="dxa"/>
            <w:vAlign w:val="center"/>
          </w:tcPr>
          <w:p w:rsidR="00A81711" w:rsidRPr="00A81711" w:rsidRDefault="00A81711" w:rsidP="00A81711">
            <w:pPr>
              <w:jc w:val="center"/>
              <w:rPr>
                <w:sz w:val="18"/>
                <w:szCs w:val="18"/>
              </w:rPr>
            </w:pPr>
            <w:r w:rsidRPr="00A81711">
              <w:rPr>
                <w:sz w:val="18"/>
                <w:szCs w:val="18"/>
              </w:rPr>
              <w:t>313 km</w:t>
            </w:r>
          </w:p>
        </w:tc>
      </w:tr>
    </w:tbl>
    <w:p w:rsidR="00A81711" w:rsidRDefault="00A81711" w:rsidP="00A81711">
      <w:pPr>
        <w:pStyle w:val="ECCParagraph"/>
        <w:rPr>
          <w:lang w:val="en-US"/>
        </w:rPr>
      </w:pPr>
    </w:p>
    <w:p w:rsidR="00A81711" w:rsidRPr="001807EA" w:rsidRDefault="00A81711" w:rsidP="00A81711">
      <w:pPr>
        <w:pStyle w:val="ECCParagraph"/>
      </w:pPr>
      <w:r w:rsidRPr="004D1DA9">
        <w:rPr>
          <w:rFonts w:cs="Arial"/>
          <w:szCs w:val="20"/>
        </w:rPr>
        <w:t xml:space="preserve">For </w:t>
      </w:r>
      <w:r w:rsidRPr="001807EA">
        <w:t xml:space="preserve">the conversion of an </w:t>
      </w:r>
      <w:r>
        <w:t xml:space="preserve">existing </w:t>
      </w:r>
      <w:r w:rsidRPr="001807EA">
        <w:t xml:space="preserve">allotment into one or more assignments </w:t>
      </w:r>
      <w:r w:rsidRPr="004D1DA9">
        <w:rPr>
          <w:rFonts w:cs="Arial"/>
          <w:szCs w:val="20"/>
        </w:rPr>
        <w:t>the</w:t>
      </w:r>
      <w:r w:rsidRPr="001807EA">
        <w:t xml:space="preserve"> co-ordination and notification</w:t>
      </w:r>
      <w:r w:rsidRPr="004D1DA9">
        <w:rPr>
          <w:rFonts w:cs="Arial"/>
          <w:szCs w:val="20"/>
        </w:rPr>
        <w:t xml:space="preserve"> procedures described in Article 6 </w:t>
      </w:r>
      <w:r>
        <w:rPr>
          <w:rFonts w:cs="Arial"/>
          <w:szCs w:val="20"/>
        </w:rPr>
        <w:t>are to be applied</w:t>
      </w:r>
      <w:r w:rsidRPr="004D1DA9">
        <w:rPr>
          <w:rFonts w:cs="Arial"/>
          <w:szCs w:val="20"/>
        </w:rPr>
        <w:t xml:space="preserve">. </w:t>
      </w:r>
    </w:p>
    <w:p w:rsidR="00A81711" w:rsidRDefault="00A81711" w:rsidP="00A81711">
      <w:pPr>
        <w:pStyle w:val="ECCAnnexheading2"/>
      </w:pPr>
      <w:r>
        <w:t>Request for coordination received by the eco</w:t>
      </w:r>
    </w:p>
    <w:p w:rsidR="00A81711" w:rsidRPr="000A48B0" w:rsidRDefault="00A81711" w:rsidP="00A81711">
      <w:pPr>
        <w:pStyle w:val="ECCParagraph"/>
      </w:pPr>
      <w:r w:rsidRPr="000A48B0">
        <w:t xml:space="preserve">The follow up of the request of coordination is available at </w:t>
      </w:r>
      <w:hyperlink r:id="rId74" w:history="1">
        <w:r>
          <w:rPr>
            <w:rStyle w:val="Lienhypertexte"/>
            <w:lang w:val="en-US"/>
          </w:rPr>
          <w:t>http://cept.org/ecc/topics/broadcasting/t-dab/ma02revco07-special-arrangement/ma02revco07-t-dab-plan-circular-letters</w:t>
        </w:r>
      </w:hyperlink>
      <w:r w:rsidRPr="000A48B0">
        <w:t>, where the Circular Letters published by the Office are available.</w:t>
      </w:r>
    </w:p>
    <w:p w:rsidR="00A81711" w:rsidRPr="000A48B0" w:rsidRDefault="00A81711" w:rsidP="00A81711">
      <w:pPr>
        <w:pStyle w:val="ECCParagraph"/>
      </w:pPr>
      <w:r w:rsidRPr="000A48B0">
        <w:t>In total, seven Circular Letters have been published by the Office since May 2007. Among them, only two contained request</w:t>
      </w:r>
      <w:r>
        <w:t>s</w:t>
      </w:r>
      <w:r w:rsidRPr="000A48B0">
        <w:t xml:space="preserve"> for new allotments.  </w:t>
      </w:r>
    </w:p>
    <w:p w:rsidR="00A81711" w:rsidRPr="000A48B0" w:rsidRDefault="00A81711" w:rsidP="00A81711">
      <w:pPr>
        <w:pStyle w:val="ECCParagraph"/>
      </w:pPr>
      <w:r w:rsidRPr="000A48B0">
        <w:t>In Circular Letter 013, the Slovak Republic requested the coordination of several new allotments. Among them, it can be seen that 8 sets of them were for 3 contiguous channels operated over the same area. 5 sets of 3 contiguous channels operated over the same area are contained in Part2sup.</w:t>
      </w:r>
    </w:p>
    <w:p w:rsidR="00A81711" w:rsidRDefault="00A81711" w:rsidP="00A81711">
      <w:pPr>
        <w:pStyle w:val="ECCParagraph"/>
      </w:pPr>
      <w:r w:rsidRPr="000A48B0">
        <w:t>In Circular Letter 018, the Czech Republic requested the coordination of a new allotment. However, a brief analysis shows that this will not result in a set of 3 contiguous channels operated over the same area.</w:t>
      </w:r>
    </w:p>
    <w:p w:rsidR="00A81711" w:rsidRDefault="00A81711" w:rsidP="00A81711">
      <w:pPr>
        <w:pStyle w:val="ECCAnnexheading2"/>
      </w:pPr>
      <w:r>
        <w:t>material complementing the arrangement</w:t>
      </w:r>
    </w:p>
    <w:p w:rsidR="00A81711" w:rsidRDefault="00A81711" w:rsidP="00A81711">
      <w:pPr>
        <w:pStyle w:val="ECCParagraph"/>
      </w:pPr>
      <w:r>
        <w:t>MA02revCO07 was agreed in 2007 in order to</w:t>
      </w:r>
      <w:r w:rsidRPr="003A6753">
        <w:t xml:space="preserve"> </w:t>
      </w:r>
      <w:r>
        <w:t>provide</w:t>
      </w:r>
      <w:r w:rsidRPr="003A6753">
        <w:t xml:space="preserve"> the technical and regulatory framework </w:t>
      </w:r>
      <w:r>
        <w:t xml:space="preserve">to facilitate the introduction of terrestrial </w:t>
      </w:r>
      <w:r w:rsidRPr="003A6753">
        <w:t>mobile multimedia services</w:t>
      </w:r>
      <w:r>
        <w:t xml:space="preserve"> </w:t>
      </w:r>
      <w:r w:rsidRPr="003A6753">
        <w:t>in the frequency band 1452 - 1479.5 MHz</w:t>
      </w:r>
      <w:r>
        <w:t xml:space="preserve"> and to introduce more flexibility. At the time not all the information relating to possible systems to be deployed in this band was available. However the MA02revCO07 provides the possibility to also consider other radio systems and their characteristics when addressing sharing between those and T-DAB and for coordination among administrations using complementary ECC deliverables:</w:t>
      </w:r>
    </w:p>
    <w:p w:rsidR="00A81711" w:rsidRDefault="00A81711" w:rsidP="00A81711">
      <w:pPr>
        <w:pStyle w:val="ECCParagraph"/>
        <w:rPr>
          <w:rFonts w:ascii="TimesNewRomanPSMT" w:hAnsi="TimesNewRomanPSMT" w:cs="TimesNewRomanPSMT"/>
          <w:sz w:val="23"/>
          <w:szCs w:val="23"/>
        </w:rPr>
      </w:pPr>
      <w:r>
        <w:rPr>
          <w:rFonts w:cs="Arial"/>
        </w:rPr>
        <w:t xml:space="preserve">“ </w:t>
      </w:r>
    </w:p>
    <w:p w:rsidR="00A81711" w:rsidRPr="00A81711" w:rsidRDefault="00A81711" w:rsidP="00A81711">
      <w:pPr>
        <w:pStyle w:val="ECCParagraph"/>
      </w:pPr>
      <w:r>
        <w:t xml:space="preserve">Where no </w:t>
      </w:r>
      <w:r w:rsidRPr="00A81711">
        <w:t>information concerning protection ratios for other services suffering interference from</w:t>
      </w:r>
      <w:r>
        <w:t xml:space="preserve"> </w:t>
      </w:r>
      <w:r w:rsidRPr="00A81711">
        <w:t>T-DAB has been supplied to the Planning Meeting, the administrations concerned should develop</w:t>
      </w:r>
      <w:r>
        <w:t xml:space="preserve"> </w:t>
      </w:r>
      <w:r w:rsidRPr="00A81711">
        <w:t>appropriate sharing criteria by mutual agreement. When available one could use the relevant ITU-R.Recommendations or ERC and ECC Decisions and Recommendations.</w:t>
      </w:r>
    </w:p>
    <w:p w:rsidR="00A81711" w:rsidRPr="00A81711" w:rsidRDefault="00A81711" w:rsidP="00A81711">
      <w:pPr>
        <w:pStyle w:val="ECCParagraph"/>
      </w:pPr>
      <w:r>
        <w:t>“a</w:t>
      </w:r>
      <w:r w:rsidRPr="00A81711">
        <w:t xml:space="preserve">nd </w:t>
      </w:r>
    </w:p>
    <w:p w:rsidR="00A81711" w:rsidRPr="00A81711" w:rsidRDefault="00A81711" w:rsidP="00A81711">
      <w:pPr>
        <w:pStyle w:val="ECCParagraph"/>
      </w:pPr>
      <w:r w:rsidRPr="00A81711">
        <w:lastRenderedPageBreak/>
        <w:t>“</w:t>
      </w:r>
    </w:p>
    <w:p w:rsidR="00A81711" w:rsidRPr="000A48B0" w:rsidRDefault="00A81711" w:rsidP="00A81711">
      <w:pPr>
        <w:pStyle w:val="ECCParagraph"/>
      </w:pPr>
      <w:r w:rsidRPr="00A81711">
        <w:t>Where no information concerning protection ratios for T-DAB suffering interference from other</w:t>
      </w:r>
      <w:r>
        <w:t xml:space="preserve"> </w:t>
      </w:r>
      <w:r w:rsidRPr="00A81711">
        <w:t>services has been supplied to the Planning Meeting, the administrations concerned should develop</w:t>
      </w:r>
      <w:r>
        <w:t xml:space="preserve"> </w:t>
      </w:r>
      <w:r w:rsidRPr="00A81711">
        <w:t>appropriate sharing criteria by mutual agreement. When available, one could use the relevant ITU-R Recommendations or ERC and ECC Decisions and Recommendations</w:t>
      </w:r>
      <w:r>
        <w:t>,</w:t>
      </w:r>
    </w:p>
    <w:p w:rsidR="00A81711" w:rsidRDefault="00A81711" w:rsidP="00A81711">
      <w:pPr>
        <w:pStyle w:val="ECCAnnexheading1"/>
      </w:pPr>
      <w:bookmarkStart w:id="91" w:name="_Toc322126847"/>
      <w:r>
        <w:rPr>
          <w:szCs w:val="24"/>
          <w:lang w:val="en-AU"/>
        </w:rPr>
        <w:lastRenderedPageBreak/>
        <w:t>1452-1479.5  MH</w:t>
      </w:r>
      <w:r>
        <w:rPr>
          <w:caps w:val="0"/>
          <w:szCs w:val="24"/>
          <w:lang w:val="en-AU"/>
        </w:rPr>
        <w:t xml:space="preserve">z </w:t>
      </w:r>
      <w:r w:rsidRPr="000A48B0">
        <w:rPr>
          <w:lang w:val="en-AU"/>
        </w:rPr>
        <w:t xml:space="preserve">band utilisation in some CEPT countries (updated information compared to the ECC survey conducted in December 2010 </w:t>
      </w:r>
      <w:r w:rsidRPr="00CD3C19">
        <w:rPr>
          <w:lang w:val="en-AU"/>
        </w:rPr>
        <w:t>–</w:t>
      </w:r>
      <w:r w:rsidRPr="000A48B0">
        <w:rPr>
          <w:lang w:val="en-AU"/>
        </w:rPr>
        <w:t xml:space="preserve"> January 2011)</w:t>
      </w:r>
      <w:bookmarkEnd w:id="91"/>
    </w:p>
    <w:p w:rsidR="00A81711" w:rsidRDefault="00A81711" w:rsidP="00A81711">
      <w:pPr>
        <w:pStyle w:val="Note"/>
        <w:rPr>
          <w:rFonts w:ascii="Arial" w:hAnsi="Arial" w:cs="Arial"/>
          <w:color w:val="000000"/>
          <w:sz w:val="22"/>
          <w:szCs w:val="22"/>
          <w:lang w:val="en-AU"/>
        </w:rPr>
      </w:pPr>
    </w:p>
    <w:p w:rsidR="00A81711" w:rsidRDefault="00CF580E" w:rsidP="00A81711">
      <w:pPr>
        <w:rPr>
          <w:rFonts w:cs="Arial"/>
          <w:b/>
          <w:bCs/>
        </w:rPr>
      </w:pPr>
      <w:r w:rsidRPr="00CF580E">
        <w:rPr>
          <w:rFonts w:cs="Arial"/>
          <w:b/>
          <w:bCs/>
        </w:rPr>
        <w:t>Czech Republic</w:t>
      </w:r>
    </w:p>
    <w:p w:rsidR="00A81711" w:rsidRDefault="00A81711" w:rsidP="00A81711">
      <w:pPr>
        <w:pStyle w:val="ECCParagraph"/>
      </w:pPr>
      <w:r>
        <w:t>Administration of the Czech Republic has issued, on public tender basis, a number of licences for terrestrial digital broadcasting services based on Eureka 147 technology in the 1452-1479.5 MHz</w:t>
      </w:r>
      <w:r w:rsidDel="00E5335D">
        <w:t xml:space="preserve"> </w:t>
      </w:r>
      <w:r>
        <w:t>Band. Nine licences for particular regions and thirteen metropolitan licences will expire in 2021.  Four T-DAB transmitters are already in regular operation.</w:t>
      </w:r>
    </w:p>
    <w:p w:rsidR="00A81711" w:rsidRDefault="00A81711" w:rsidP="00A81711">
      <w:pPr>
        <w:rPr>
          <w:rFonts w:cs="Arial"/>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97"/>
        <w:gridCol w:w="4697"/>
      </w:tblGrid>
      <w:tr w:rsidR="00A81711" w:rsidRPr="00F43BBD" w:rsidTr="00A81711">
        <w:tc>
          <w:tcPr>
            <w:tcW w:w="4644" w:type="dxa"/>
          </w:tcPr>
          <w:p w:rsidR="00A81711" w:rsidRPr="00F43BBD" w:rsidRDefault="00A81711" w:rsidP="00A81711">
            <w:pPr>
              <w:rPr>
                <w:rFonts w:cs="Arial"/>
              </w:rPr>
            </w:pPr>
            <w:r w:rsidRPr="001807EA">
              <w:rPr>
                <w:rFonts w:cs="Arial"/>
                <w:noProof/>
                <w:lang w:val="fr-FR" w:eastAsia="fr-FR"/>
              </w:rPr>
              <w:drawing>
                <wp:inline distT="0" distB="0" distL="0" distR="0" wp14:anchorId="2B863871" wp14:editId="573021B7">
                  <wp:extent cx="2845435" cy="1682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45435" cy="1682750"/>
                          </a:xfrm>
                          <a:prstGeom prst="rect">
                            <a:avLst/>
                          </a:prstGeom>
                          <a:noFill/>
                          <a:ln>
                            <a:noFill/>
                          </a:ln>
                        </pic:spPr>
                      </pic:pic>
                    </a:graphicData>
                  </a:graphic>
                </wp:inline>
              </w:drawing>
            </w:r>
          </w:p>
        </w:tc>
        <w:tc>
          <w:tcPr>
            <w:tcW w:w="4644" w:type="dxa"/>
          </w:tcPr>
          <w:p w:rsidR="00A81711" w:rsidRPr="00F43BBD" w:rsidRDefault="00A81711" w:rsidP="00A81711">
            <w:pPr>
              <w:rPr>
                <w:rFonts w:cs="Arial"/>
              </w:rPr>
            </w:pPr>
            <w:r w:rsidRPr="001807EA">
              <w:rPr>
                <w:rFonts w:cs="Arial"/>
                <w:noProof/>
                <w:lang w:val="fr-FR" w:eastAsia="fr-FR"/>
              </w:rPr>
              <w:drawing>
                <wp:inline distT="0" distB="0" distL="0" distR="0" wp14:anchorId="6C8A3B13" wp14:editId="0E0940B1">
                  <wp:extent cx="2845435" cy="1682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45435" cy="1682750"/>
                          </a:xfrm>
                          <a:prstGeom prst="rect">
                            <a:avLst/>
                          </a:prstGeom>
                          <a:noFill/>
                          <a:ln>
                            <a:noFill/>
                          </a:ln>
                        </pic:spPr>
                      </pic:pic>
                    </a:graphicData>
                  </a:graphic>
                </wp:inline>
              </w:drawing>
            </w:r>
          </w:p>
        </w:tc>
      </w:tr>
    </w:tbl>
    <w:p w:rsidR="00A81711" w:rsidRPr="009251D6" w:rsidRDefault="00CF580E" w:rsidP="007E42E6">
      <w:pPr>
        <w:pStyle w:val="ECCFiguretitle"/>
      </w:pPr>
      <w:r>
        <w:t>Terrestrial Broadcasting Service in the Czech Republik</w:t>
      </w:r>
    </w:p>
    <w:p w:rsidR="00A81711" w:rsidRDefault="00A81711" w:rsidP="00A81711">
      <w:pPr>
        <w:rPr>
          <w:rFonts w:cs="Arial"/>
          <w:b/>
          <w:bCs/>
        </w:rPr>
      </w:pPr>
      <w:r>
        <w:rPr>
          <w:rFonts w:cs="Arial"/>
          <w:b/>
          <w:bCs/>
        </w:rPr>
        <w:t>F</w:t>
      </w:r>
      <w:r w:rsidR="00CF580E">
        <w:rPr>
          <w:rFonts w:cs="Arial"/>
          <w:b/>
          <w:bCs/>
        </w:rPr>
        <w:t>rance</w:t>
      </w:r>
    </w:p>
    <w:p w:rsidR="00A81711" w:rsidRDefault="00A81711" w:rsidP="00A81711">
      <w:pPr>
        <w:rPr>
          <w:rFonts w:cs="Arial"/>
          <w:b/>
          <w:bCs/>
        </w:rPr>
      </w:pPr>
    </w:p>
    <w:p w:rsidR="00A81711" w:rsidRDefault="00A81711" w:rsidP="00720CFD">
      <w:pPr>
        <w:pStyle w:val="ECCParagraph"/>
      </w:pPr>
      <w:r w:rsidRPr="00DB309A">
        <w:t>The</w:t>
      </w:r>
      <w:r>
        <w:t xml:space="preserve">re is an </w:t>
      </w:r>
      <w:r w:rsidRPr="00DB309A">
        <w:t xml:space="preserve">ongoing call for tender in France for terrestrial radio services within part of the band 1452-1479.5 </w:t>
      </w:r>
      <w:r w:rsidRPr="00764F8B">
        <w:t>MHz, with rights based on the MA02revCO07 Special Arrangement. These terrestrial services are expected to be completed by a satellite component, in the same band or in another band.</w:t>
      </w:r>
      <w:r>
        <w:t xml:space="preserve"> The license is expected to be issued by the end of 2012, and the services could therefore be on air by the end of 2012/beginning of 2013 (67 allotments, forming 1 nationwide layer).</w:t>
      </w:r>
    </w:p>
    <w:p w:rsidR="00A81711" w:rsidRDefault="00A81711" w:rsidP="00A81711">
      <w:pPr>
        <w:rPr>
          <w:rFonts w:cs="Arial"/>
          <w:b/>
          <w:bCs/>
        </w:rPr>
      </w:pPr>
    </w:p>
    <w:p w:rsidR="00A81711" w:rsidRDefault="00CF580E" w:rsidP="00A81711">
      <w:pPr>
        <w:rPr>
          <w:rFonts w:cs="Arial"/>
          <w:b/>
          <w:bCs/>
        </w:rPr>
      </w:pPr>
      <w:r>
        <w:rPr>
          <w:rFonts w:cs="Arial"/>
          <w:b/>
          <w:bCs/>
        </w:rPr>
        <w:t>The Netherlands</w:t>
      </w:r>
    </w:p>
    <w:p w:rsidR="00A81711" w:rsidRDefault="00A81711" w:rsidP="00A81711">
      <w:pPr>
        <w:spacing w:before="60" w:after="60"/>
        <w:ind w:left="60"/>
        <w:rPr>
          <w:rFonts w:cs="Arial"/>
        </w:rPr>
      </w:pPr>
    </w:p>
    <w:p w:rsidR="00A81711" w:rsidRDefault="00A81711" w:rsidP="00720CFD">
      <w:pPr>
        <w:pStyle w:val="ECCParagraph"/>
      </w:pPr>
      <w:r>
        <w:t>The Netherlands issued one license within the 1452-1479,5 MHz band. This license was awarded based on rights out of the MA02revCO07 Special Arrangement:</w:t>
      </w:r>
    </w:p>
    <w:p w:rsidR="00A81711" w:rsidRDefault="00A81711" w:rsidP="000F6780">
      <w:pPr>
        <w:pStyle w:val="ECCParagraph"/>
        <w:numPr>
          <w:ilvl w:val="0"/>
          <w:numId w:val="15"/>
        </w:numPr>
      </w:pPr>
      <w:r>
        <w:t>117 area’s, containing 141 allotments, forming 1 nationwide layer;</w:t>
      </w:r>
    </w:p>
    <w:p w:rsidR="00A81711" w:rsidRDefault="00A81711" w:rsidP="000F6780">
      <w:pPr>
        <w:pStyle w:val="ECCParagraph"/>
        <w:numPr>
          <w:ilvl w:val="0"/>
          <w:numId w:val="15"/>
        </w:numPr>
      </w:pPr>
      <w:r>
        <w:t>The license is technology neutral, transmissions should fit within the T-DAB spectrum mask;</w:t>
      </w:r>
    </w:p>
    <w:p w:rsidR="00A81711" w:rsidRDefault="00A81711" w:rsidP="000F6780">
      <w:pPr>
        <w:pStyle w:val="ECCParagraph"/>
        <w:numPr>
          <w:ilvl w:val="0"/>
          <w:numId w:val="15"/>
        </w:numPr>
      </w:pPr>
      <w:r>
        <w:t>The license is granted on 16-02-2009 and will end on 15-02-2024;</w:t>
      </w:r>
    </w:p>
    <w:p w:rsidR="00A81711" w:rsidRDefault="00A81711" w:rsidP="000F6780">
      <w:pPr>
        <w:pStyle w:val="ECCParagraph"/>
        <w:numPr>
          <w:ilvl w:val="0"/>
          <w:numId w:val="15"/>
        </w:numPr>
      </w:pPr>
      <w:r>
        <w:t>There is a roll-out obligation for 16 area’s by 16-02-2012 and 94 area’s by 16-02-2015;</w:t>
      </w:r>
    </w:p>
    <w:p w:rsidR="00A81711" w:rsidRDefault="00A81711" w:rsidP="000F6780">
      <w:pPr>
        <w:pStyle w:val="ECCParagraph"/>
        <w:numPr>
          <w:ilvl w:val="0"/>
          <w:numId w:val="15"/>
        </w:numPr>
      </w:pPr>
      <w:r>
        <w:t xml:space="preserve">Not fulfilling the roll-out obligation can be a reason to withdraw the license. </w:t>
      </w:r>
      <w:r w:rsidRPr="000A48B0">
        <w:t>No roll out was reported up to now.</w:t>
      </w:r>
    </w:p>
    <w:p w:rsidR="00A81711" w:rsidRDefault="00A81711" w:rsidP="00720CFD">
      <w:pPr>
        <w:pStyle w:val="ECCParagraph"/>
      </w:pPr>
      <w:r>
        <w:t xml:space="preserve">According to the national frequency plan of The </w:t>
      </w:r>
      <w:r w:rsidR="00720CFD">
        <w:t>Netherlands, the band 1452-1479.</w:t>
      </w:r>
      <w:r>
        <w:t>5 MHz has to be used for digital broadcasting.</w:t>
      </w:r>
    </w:p>
    <w:p w:rsidR="00A81711" w:rsidRDefault="00A81711" w:rsidP="00A81711">
      <w:pPr>
        <w:spacing w:before="60" w:after="60"/>
        <w:rPr>
          <w:rFonts w:cs="Arial"/>
        </w:rPr>
      </w:pPr>
    </w:p>
    <w:p w:rsidR="00A81711" w:rsidRPr="000A48B0" w:rsidRDefault="00A81711" w:rsidP="00A81711">
      <w:pPr>
        <w:spacing w:before="60" w:after="60"/>
        <w:rPr>
          <w:rFonts w:cs="Arial"/>
          <w:b/>
        </w:rPr>
      </w:pPr>
      <w:r>
        <w:rPr>
          <w:rFonts w:cs="Arial"/>
          <w:b/>
        </w:rPr>
        <w:lastRenderedPageBreak/>
        <w:t>S</w:t>
      </w:r>
      <w:r w:rsidR="00CF580E">
        <w:rPr>
          <w:rFonts w:cs="Arial"/>
          <w:b/>
        </w:rPr>
        <w:t>weden</w:t>
      </w:r>
    </w:p>
    <w:p w:rsidR="00A81711" w:rsidRPr="00CA7863" w:rsidRDefault="00A81711" w:rsidP="007C3130">
      <w:pPr>
        <w:pStyle w:val="ECCParagraph"/>
        <w:rPr>
          <w:rFonts w:ascii="Calibri" w:hAnsi="Calibri"/>
          <w:lang w:val="sv-SE"/>
        </w:rPr>
      </w:pPr>
      <w:r w:rsidRPr="00CA7863">
        <w:t>According to the national frequency plan the identified possible usage in 1452-1479.5 MHz is T-DAB and in 1479.5 MHz-1492 MHz is S-DAB. However, there are no licenses issued for T-DAB</w:t>
      </w:r>
      <w:r w:rsidRPr="00CA7863">
        <w:rPr>
          <w:color w:val="1F497D"/>
        </w:rPr>
        <w:t xml:space="preserve">, </w:t>
      </w:r>
      <w:r w:rsidRPr="00CA7863">
        <w:t>no satellite is covering Sweden (S-DAB) and the identifications are to be reviewed. The entire 1452-1492 MHz may therefore be available for new licenses for terrestrial applications under least restrictive technical conditions during 2012.</w:t>
      </w:r>
    </w:p>
    <w:p w:rsidR="00A81711" w:rsidRPr="00992804" w:rsidRDefault="00A81711" w:rsidP="00A81711">
      <w:pPr>
        <w:spacing w:before="60" w:after="60"/>
        <w:rPr>
          <w:rFonts w:cs="Arial"/>
          <w:lang w:val="sv-SE"/>
        </w:rPr>
      </w:pPr>
    </w:p>
    <w:p w:rsidR="00A81711" w:rsidRPr="000A48B0" w:rsidRDefault="00CF580E" w:rsidP="00A81711">
      <w:pPr>
        <w:spacing w:before="60" w:after="60"/>
        <w:rPr>
          <w:rFonts w:cs="Arial"/>
          <w:b/>
          <w:bCs/>
        </w:rPr>
      </w:pPr>
      <w:r>
        <w:rPr>
          <w:rFonts w:cs="Arial"/>
          <w:b/>
          <w:bCs/>
        </w:rPr>
        <w:t>The United Kingdom</w:t>
      </w:r>
    </w:p>
    <w:p w:rsidR="00A81711" w:rsidRDefault="00A81711" w:rsidP="00A81711">
      <w:pPr>
        <w:spacing w:before="60" w:after="60"/>
        <w:rPr>
          <w:rFonts w:cs="Arial"/>
        </w:rPr>
      </w:pPr>
    </w:p>
    <w:p w:rsidR="00A81711" w:rsidRPr="00C513EC" w:rsidRDefault="00A81711" w:rsidP="007C3130">
      <w:pPr>
        <w:pStyle w:val="ECCParagraph"/>
      </w:pPr>
      <w:r>
        <w:t>T</w:t>
      </w:r>
      <w:r w:rsidRPr="00C513EC">
        <w:t>he whole 1452-1492 MHz band is licensed until 2023 (renewable) for terrestrial applications under technology neutral technical conditions of usage.</w:t>
      </w:r>
    </w:p>
    <w:p w:rsidR="00A81711" w:rsidRPr="00A81711" w:rsidRDefault="00720CFD" w:rsidP="00720CFD">
      <w:pPr>
        <w:pStyle w:val="ECCAnnexheading1"/>
      </w:pPr>
      <w:bookmarkStart w:id="92" w:name="_Toc322126848"/>
      <w:r>
        <w:lastRenderedPageBreak/>
        <w:t>overview of the use/regulations of the band 1452-1492 MH</w:t>
      </w:r>
      <w:r>
        <w:rPr>
          <w:caps w:val="0"/>
        </w:rPr>
        <w:t>zin a number of countries outside from CEPT</w:t>
      </w:r>
      <w:bookmarkEnd w:id="92"/>
    </w:p>
    <w:p w:rsidR="008A54FC" w:rsidRDefault="008A54FC" w:rsidP="008A54FC">
      <w:pPr>
        <w:pStyle w:val="Lgende"/>
      </w:pPr>
      <w:r>
        <w:t xml:space="preserve">Table </w:t>
      </w:r>
      <w:r w:rsidR="009E47EB">
        <w:fldChar w:fldCharType="begin"/>
      </w:r>
      <w:r w:rsidR="009E47EB">
        <w:instrText xml:space="preserve"> SEQ Table \* ARABIC </w:instrText>
      </w:r>
      <w:r w:rsidR="009E47EB">
        <w:fldChar w:fldCharType="separate"/>
      </w:r>
      <w:r w:rsidR="00B432D4">
        <w:rPr>
          <w:noProof/>
        </w:rPr>
        <w:t>1</w:t>
      </w:r>
      <w:r w:rsidR="009E47EB">
        <w:rPr>
          <w:noProof/>
        </w:rPr>
        <w:fldChar w:fldCharType="end"/>
      </w:r>
      <w:r>
        <w:t>: Title (style: Caption)</w:t>
      </w:r>
    </w:p>
    <w:tbl>
      <w:tblPr>
        <w:tblW w:w="985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1101"/>
        <w:gridCol w:w="1984"/>
        <w:gridCol w:w="1276"/>
        <w:gridCol w:w="5494"/>
      </w:tblGrid>
      <w:tr w:rsidR="00720CFD" w:rsidTr="007C3130">
        <w:trPr>
          <w:tblHeader/>
        </w:trPr>
        <w:tc>
          <w:tcPr>
            <w:tcW w:w="1101" w:type="dxa"/>
            <w:tcBorders>
              <w:right w:val="single" w:sz="8" w:space="0" w:color="FFFFFF"/>
            </w:tcBorders>
            <w:shd w:val="clear" w:color="auto" w:fill="D2232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b/>
                <w:bCs/>
                <w:color w:val="FFFFFF" w:themeColor="background1"/>
                <w:sz w:val="18"/>
                <w:szCs w:val="18"/>
                <w:lang w:val="en-AU"/>
              </w:rPr>
            </w:pPr>
            <w:r w:rsidRPr="00720CFD">
              <w:rPr>
                <w:b/>
                <w:bCs/>
                <w:color w:val="FFFFFF" w:themeColor="background1"/>
                <w:sz w:val="18"/>
                <w:szCs w:val="18"/>
                <w:lang w:val="en-AU"/>
              </w:rPr>
              <w:t>Country</w:t>
            </w:r>
          </w:p>
        </w:tc>
        <w:tc>
          <w:tcPr>
            <w:tcW w:w="1984" w:type="dxa"/>
            <w:tcBorders>
              <w:left w:val="single" w:sz="8" w:space="0" w:color="FFFFFF"/>
              <w:right w:val="single" w:sz="8" w:space="0" w:color="FFFFFF"/>
            </w:tcBorders>
            <w:shd w:val="clear" w:color="auto" w:fill="D2232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b/>
                <w:bCs/>
                <w:color w:val="FFFFFF" w:themeColor="background1"/>
                <w:sz w:val="18"/>
                <w:szCs w:val="18"/>
                <w:lang w:val="en-AU"/>
              </w:rPr>
            </w:pPr>
            <w:r w:rsidRPr="00720CFD">
              <w:rPr>
                <w:b/>
                <w:bCs/>
                <w:color w:val="FFFFFF" w:themeColor="background1"/>
                <w:sz w:val="18"/>
                <w:szCs w:val="18"/>
                <w:lang w:val="en-AU"/>
              </w:rPr>
              <w:t>Primary Services</w:t>
            </w:r>
          </w:p>
        </w:tc>
        <w:tc>
          <w:tcPr>
            <w:tcW w:w="1276" w:type="dxa"/>
            <w:tcBorders>
              <w:left w:val="single" w:sz="8" w:space="0" w:color="FFFFFF"/>
              <w:right w:val="single" w:sz="8" w:space="0" w:color="FFFFFF"/>
            </w:tcBorders>
            <w:shd w:val="clear" w:color="auto" w:fill="D2232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b/>
                <w:bCs/>
                <w:color w:val="FFFFFF" w:themeColor="background1"/>
                <w:sz w:val="18"/>
                <w:szCs w:val="18"/>
                <w:lang w:val="en-AU"/>
              </w:rPr>
            </w:pPr>
            <w:r w:rsidRPr="00720CFD">
              <w:rPr>
                <w:b/>
                <w:bCs/>
                <w:color w:val="FFFFFF" w:themeColor="background1"/>
                <w:sz w:val="18"/>
                <w:szCs w:val="18"/>
                <w:lang w:val="en-AU"/>
              </w:rPr>
              <w:t>Secondary Services</w:t>
            </w:r>
          </w:p>
        </w:tc>
        <w:tc>
          <w:tcPr>
            <w:tcW w:w="5494" w:type="dxa"/>
            <w:tcBorders>
              <w:left w:val="single" w:sz="8" w:space="0" w:color="FFFFFF"/>
            </w:tcBorders>
            <w:shd w:val="clear" w:color="auto" w:fill="D2232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b/>
                <w:bCs/>
                <w:color w:val="FFFFFF" w:themeColor="background1"/>
                <w:sz w:val="18"/>
                <w:szCs w:val="18"/>
                <w:lang w:val="en-AU"/>
              </w:rPr>
            </w:pPr>
            <w:r w:rsidRPr="00720CFD">
              <w:rPr>
                <w:b/>
                <w:bCs/>
                <w:color w:val="FFFFFF" w:themeColor="background1"/>
                <w:sz w:val="18"/>
                <w:szCs w:val="18"/>
                <w:lang w:val="en-AU"/>
              </w:rPr>
              <w:t>Note</w:t>
            </w:r>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Australia</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 Mobile, Broadcasting, Broadcasting Satellite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http://www.acma.gov.au/WEB/STANDARD/pc=PC_2713</w:t>
            </w:r>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Brazil</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 Broadcasting, Broadcasting Satellite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http://www.cft.gob.mx/wb/Cofetel_2008/Cofe_cnaf_4</w:t>
            </w:r>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 xml:space="preserve">Canada </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 xml:space="preserve">Broadcast (T and S) Fixed </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Mobile</w:t>
            </w:r>
          </w:p>
        </w:tc>
        <w:tc>
          <w:tcPr>
            <w:tcW w:w="5494" w:type="dxa"/>
          </w:tcPr>
          <w:p w:rsidR="00720CFD" w:rsidRPr="00720CFD" w:rsidRDefault="00A23A71" w:rsidP="00B055B7">
            <w:pPr>
              <w:tabs>
                <w:tab w:val="left" w:pos="1134"/>
                <w:tab w:val="left" w:pos="1871"/>
                <w:tab w:val="left" w:pos="2268"/>
              </w:tabs>
              <w:overflowPunct w:val="0"/>
              <w:autoSpaceDE w:val="0"/>
              <w:autoSpaceDN w:val="0"/>
              <w:adjustRightInd w:val="0"/>
              <w:spacing w:before="240"/>
              <w:textAlignment w:val="baseline"/>
              <w:rPr>
                <w:szCs w:val="20"/>
                <w:lang w:val="en-AU"/>
              </w:rPr>
            </w:pPr>
            <w:hyperlink r:id="rId77" w:history="1">
              <w:r w:rsidR="00720CFD" w:rsidRPr="00720CFD">
                <w:rPr>
                  <w:rStyle w:val="Lienhypertexte"/>
                  <w:szCs w:val="20"/>
                  <w:lang w:val="en-AU"/>
                </w:rPr>
                <w:t>http://www.ic.gc.ca/eic/site/smt-gst.nsf/vwapj/spectallocation-08.pdf/$FILE/spectallocation-08.pdf</w:t>
              </w:r>
            </w:hyperlink>
          </w:p>
          <w:p w:rsidR="00720CFD" w:rsidRPr="00720CFD" w:rsidRDefault="00720CFD" w:rsidP="007C3130">
            <w:pPr>
              <w:tabs>
                <w:tab w:val="left" w:pos="1134"/>
                <w:tab w:val="left" w:pos="1871"/>
                <w:tab w:val="left" w:pos="2268"/>
              </w:tabs>
              <w:overflowPunct w:val="0"/>
              <w:autoSpaceDE w:val="0"/>
              <w:autoSpaceDN w:val="0"/>
              <w:adjustRightInd w:val="0"/>
              <w:spacing w:before="120"/>
              <w:textAlignment w:val="baseline"/>
              <w:rPr>
                <w:szCs w:val="20"/>
              </w:rPr>
            </w:pPr>
            <w:r w:rsidRPr="00720CFD">
              <w:rPr>
                <w:szCs w:val="20"/>
                <w:lang w:val="en-AU"/>
              </w:rPr>
              <w:t xml:space="preserve">Industry Canada consulted </w:t>
            </w:r>
            <w:r w:rsidRPr="00720CFD">
              <w:rPr>
                <w:szCs w:val="20"/>
              </w:rPr>
              <w:t>on the adoption of ‘a spectrum utilization policy allowing for flexible use of the spectrum to support a variety of services and technologies for subscription broadcasting, multimedia, fixed and mobile broadband applications.’</w:t>
            </w:r>
          </w:p>
          <w:p w:rsidR="00720CFD" w:rsidRPr="00720CFD" w:rsidRDefault="00A23A71" w:rsidP="007C3130">
            <w:pPr>
              <w:tabs>
                <w:tab w:val="left" w:pos="1134"/>
                <w:tab w:val="left" w:pos="1871"/>
                <w:tab w:val="left" w:pos="2268"/>
              </w:tabs>
              <w:overflowPunct w:val="0"/>
              <w:autoSpaceDE w:val="0"/>
              <w:autoSpaceDN w:val="0"/>
              <w:adjustRightInd w:val="0"/>
              <w:spacing w:before="120"/>
              <w:textAlignment w:val="baseline"/>
              <w:rPr>
                <w:szCs w:val="20"/>
              </w:rPr>
            </w:pPr>
            <w:hyperlink r:id="rId78" w:anchor="band1452a" w:history="1">
              <w:r w:rsidR="00720CFD" w:rsidRPr="00720CFD">
                <w:rPr>
                  <w:rStyle w:val="Lienhypertexte"/>
                  <w:szCs w:val="20"/>
                </w:rPr>
                <w:t>http://www.ic.gc.ca/eic/site/smt-gst.nsf/eng/sf09751.html#band1452a</w:t>
              </w:r>
            </w:hyperlink>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China</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 Broadcasting, Broadcasting Satellite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A23A71" w:rsidP="00B055B7">
            <w:pPr>
              <w:tabs>
                <w:tab w:val="left" w:pos="1134"/>
                <w:tab w:val="left" w:pos="1871"/>
                <w:tab w:val="left" w:pos="2268"/>
              </w:tabs>
              <w:overflowPunct w:val="0"/>
              <w:autoSpaceDE w:val="0"/>
              <w:autoSpaceDN w:val="0"/>
              <w:adjustRightInd w:val="0"/>
              <w:spacing w:before="240"/>
              <w:textAlignment w:val="baseline"/>
              <w:rPr>
                <w:szCs w:val="20"/>
                <w:lang w:val="en-AU"/>
              </w:rPr>
            </w:pPr>
            <w:hyperlink r:id="rId79" w:history="1">
              <w:r w:rsidR="00720CFD" w:rsidRPr="00720CFD">
                <w:rPr>
                  <w:rStyle w:val="Lienhypertexte"/>
                  <w:szCs w:val="20"/>
                  <w:lang w:val="en-AU"/>
                </w:rPr>
                <w:t>http://files.radioscanner.ru/bands/files/document76/castoti_kitaa_2005.pdf</w:t>
              </w:r>
            </w:hyperlink>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Hong Kong</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http://www.ofta.gov.hk/en/freq-spec/freq-allocations.pdf</w:t>
            </w:r>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India</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 Mobile, Broadcasting, Broadcasting Satellite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720CFD" w:rsidP="00B055B7">
            <w:pPr>
              <w:rPr>
                <w:color w:val="17365D"/>
                <w:szCs w:val="20"/>
              </w:rPr>
            </w:pPr>
            <w:r w:rsidRPr="00720CFD">
              <w:rPr>
                <w:szCs w:val="20"/>
                <w:lang w:val="en-AU"/>
              </w:rPr>
              <w:t xml:space="preserve">NFAP 2011: </w:t>
            </w:r>
            <w:hyperlink r:id="rId80" w:history="1">
              <w:r w:rsidRPr="00720CFD">
                <w:rPr>
                  <w:rStyle w:val="Lienhypertexte"/>
                  <w:szCs w:val="20"/>
                </w:rPr>
                <w:t>http://210.212.79.13/nfap-2011.asp</w:t>
              </w:r>
            </w:hyperlink>
          </w:p>
          <w:p w:rsidR="00720CFD" w:rsidRPr="00720CFD" w:rsidRDefault="00720CFD" w:rsidP="007C3130">
            <w:pPr>
              <w:tabs>
                <w:tab w:val="left" w:pos="0"/>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 xml:space="preserve">Footnote </w:t>
            </w:r>
            <w:r w:rsidRPr="00720CFD">
              <w:rPr>
                <w:color w:val="17365D"/>
                <w:szCs w:val="20"/>
              </w:rPr>
              <w:t>IND 53 of the 2011 National Frequency Allocation Plan specifies that ‘The requirement of spectrum in the frequency band 1427 – 1535 MHz may be considered for experimental/ trial/ pilot-study purposes for indigenously developed technologies for point-to-point backhaul and point-to-multipoint access systems.</w:t>
            </w:r>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Japan</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1452</w:t>
            </w:r>
            <w:r>
              <w:rPr>
                <w:szCs w:val="20"/>
                <w:lang w:val="en-AU"/>
              </w:rPr>
              <w:t>-</w:t>
            </w:r>
            <w:r w:rsidRPr="00720CFD">
              <w:rPr>
                <w:szCs w:val="20"/>
                <w:lang w:val="en-AU"/>
              </w:rPr>
              <w:t>1453 MHz: Fixed and Mobile</w:t>
            </w:r>
          </w:p>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Pr>
                <w:szCs w:val="20"/>
                <w:lang w:val="en-AU"/>
              </w:rPr>
              <w:t>1453-</w:t>
            </w:r>
            <w:r w:rsidRPr="00720CFD">
              <w:rPr>
                <w:szCs w:val="20"/>
                <w:lang w:val="en-AU"/>
              </w:rPr>
              <w:t>1475.9 MHz: Mobile</w:t>
            </w:r>
          </w:p>
          <w:p w:rsidR="00720CFD" w:rsidRPr="00720CFD" w:rsidRDefault="00720CFD" w:rsidP="00720CFD">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1475.9</w:t>
            </w:r>
            <w:r>
              <w:rPr>
                <w:szCs w:val="20"/>
                <w:lang w:val="en-AU"/>
              </w:rPr>
              <w:t>-</w:t>
            </w:r>
            <w:r w:rsidRPr="00720CFD">
              <w:rPr>
                <w:szCs w:val="20"/>
                <w:lang w:val="en-AU"/>
              </w:rPr>
              <w:t>1492 MHz: Fixed and Mobile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A23A71" w:rsidP="00B055B7">
            <w:pPr>
              <w:tabs>
                <w:tab w:val="left" w:pos="1134"/>
                <w:tab w:val="left" w:pos="1871"/>
                <w:tab w:val="left" w:pos="2268"/>
              </w:tabs>
              <w:overflowPunct w:val="0"/>
              <w:autoSpaceDE w:val="0"/>
              <w:autoSpaceDN w:val="0"/>
              <w:adjustRightInd w:val="0"/>
              <w:spacing w:before="240"/>
              <w:textAlignment w:val="baseline"/>
              <w:rPr>
                <w:szCs w:val="20"/>
                <w:lang w:val="en-AU"/>
              </w:rPr>
            </w:pPr>
            <w:hyperlink r:id="rId81" w:history="1">
              <w:r w:rsidR="00720CFD" w:rsidRPr="00720CFD">
                <w:rPr>
                  <w:rStyle w:val="Lienhypertexte"/>
                  <w:szCs w:val="20"/>
                  <w:lang w:val="en-AU"/>
                </w:rPr>
                <w:t>http://www.tele.soumu.go.jp/e/adm/freq/search/share/plan.htm</w:t>
              </w:r>
            </w:hyperlink>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Kenya</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 xml:space="preserve">Broadcasting, </w:t>
            </w:r>
            <w:r w:rsidRPr="00720CFD">
              <w:rPr>
                <w:szCs w:val="20"/>
                <w:lang w:val="en-AU"/>
              </w:rPr>
              <w:lastRenderedPageBreak/>
              <w:t>Broadcasting Satellite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A23A71" w:rsidP="00B055B7">
            <w:pPr>
              <w:tabs>
                <w:tab w:val="left" w:pos="1134"/>
                <w:tab w:val="left" w:pos="1871"/>
                <w:tab w:val="left" w:pos="2268"/>
              </w:tabs>
              <w:overflowPunct w:val="0"/>
              <w:autoSpaceDE w:val="0"/>
              <w:autoSpaceDN w:val="0"/>
              <w:adjustRightInd w:val="0"/>
              <w:spacing w:before="240"/>
              <w:textAlignment w:val="baseline"/>
              <w:rPr>
                <w:szCs w:val="20"/>
                <w:lang w:val="en-AU"/>
              </w:rPr>
            </w:pPr>
            <w:hyperlink r:id="rId82" w:history="1">
              <w:r w:rsidR="00720CFD" w:rsidRPr="00720CFD">
                <w:rPr>
                  <w:rStyle w:val="Lienhypertexte"/>
                  <w:szCs w:val="20"/>
                  <w:lang w:val="en-AU"/>
                </w:rPr>
                <w:t>http://www.cck.go.ke/licensing/downloads/Kenya_TOFA_2</w:t>
              </w:r>
              <w:r w:rsidR="00720CFD" w:rsidRPr="00720CFD">
                <w:rPr>
                  <w:rStyle w:val="Lienhypertexte"/>
                  <w:szCs w:val="20"/>
                  <w:lang w:val="en-AU"/>
                </w:rPr>
                <w:lastRenderedPageBreak/>
                <w:t>008_Edition.pdf</w:t>
              </w:r>
            </w:hyperlink>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lastRenderedPageBreak/>
              <w:t>Pakistan</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 Mobile, Broadcasting, Broadcasting Satellite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A23A71" w:rsidP="00B055B7">
            <w:pPr>
              <w:tabs>
                <w:tab w:val="left" w:pos="1134"/>
                <w:tab w:val="left" w:pos="1871"/>
                <w:tab w:val="left" w:pos="2268"/>
              </w:tabs>
              <w:overflowPunct w:val="0"/>
              <w:autoSpaceDE w:val="0"/>
              <w:autoSpaceDN w:val="0"/>
              <w:adjustRightInd w:val="0"/>
              <w:spacing w:before="240"/>
              <w:textAlignment w:val="baseline"/>
              <w:rPr>
                <w:szCs w:val="20"/>
                <w:lang w:val="en-AU"/>
              </w:rPr>
            </w:pPr>
            <w:hyperlink r:id="rId83" w:history="1">
              <w:r w:rsidR="00720CFD" w:rsidRPr="00720CFD">
                <w:rPr>
                  <w:rStyle w:val="Lienhypertexte"/>
                  <w:szCs w:val="20"/>
                  <w:lang w:val="en-AU"/>
                </w:rPr>
                <w:t>http://www.pta.gov.pk/media/Pakistan_Table_of_Frequency_Allocations.pdf</w:t>
              </w:r>
            </w:hyperlink>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South Korea</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Fixed and Mobile</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A23A71" w:rsidP="00B055B7">
            <w:pPr>
              <w:tabs>
                <w:tab w:val="left" w:pos="1134"/>
                <w:tab w:val="left" w:pos="1871"/>
                <w:tab w:val="left" w:pos="2268"/>
              </w:tabs>
              <w:overflowPunct w:val="0"/>
              <w:autoSpaceDE w:val="0"/>
              <w:autoSpaceDN w:val="0"/>
              <w:adjustRightInd w:val="0"/>
              <w:spacing w:before="240"/>
              <w:textAlignment w:val="baseline"/>
              <w:rPr>
                <w:szCs w:val="20"/>
                <w:lang w:val="en-AU"/>
              </w:rPr>
            </w:pPr>
            <w:hyperlink r:id="rId84" w:history="1">
              <w:r w:rsidR="00720CFD" w:rsidRPr="00720CFD">
                <w:rPr>
                  <w:rStyle w:val="Lienhypertexte"/>
                  <w:szCs w:val="20"/>
                  <w:lang w:val="en-AU"/>
                </w:rPr>
                <w:t>http://rapa.or.kr/frequency/english/3_Korean_Allocations_Tables.pdf</w:t>
              </w:r>
            </w:hyperlink>
          </w:p>
        </w:tc>
      </w:tr>
      <w:tr w:rsidR="00720CFD" w:rsidTr="007C3130">
        <w:tc>
          <w:tcPr>
            <w:tcW w:w="1101"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United States</w:t>
            </w:r>
          </w:p>
        </w:tc>
        <w:tc>
          <w:tcPr>
            <w:tcW w:w="198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Mobile (aeronautical telemetry) - aviation</w:t>
            </w:r>
          </w:p>
        </w:tc>
        <w:tc>
          <w:tcPr>
            <w:tcW w:w="1276"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p>
        </w:tc>
        <w:tc>
          <w:tcPr>
            <w:tcW w:w="5494" w:type="dxa"/>
          </w:tcPr>
          <w:p w:rsidR="00720CFD" w:rsidRPr="00720CFD" w:rsidRDefault="00720CFD" w:rsidP="00B055B7">
            <w:pPr>
              <w:tabs>
                <w:tab w:val="left" w:pos="1134"/>
                <w:tab w:val="left" w:pos="1871"/>
                <w:tab w:val="left" w:pos="2268"/>
              </w:tabs>
              <w:overflowPunct w:val="0"/>
              <w:autoSpaceDE w:val="0"/>
              <w:autoSpaceDN w:val="0"/>
              <w:adjustRightInd w:val="0"/>
              <w:spacing w:before="240"/>
              <w:textAlignment w:val="baseline"/>
              <w:rPr>
                <w:szCs w:val="20"/>
                <w:lang w:val="en-AU"/>
              </w:rPr>
            </w:pPr>
            <w:r w:rsidRPr="00720CFD">
              <w:rPr>
                <w:szCs w:val="20"/>
                <w:lang w:val="en-AU"/>
              </w:rPr>
              <w:t>http://www.ntia.doc.gov/osmhome/allochrt.html</w:t>
            </w:r>
          </w:p>
        </w:tc>
      </w:tr>
    </w:tbl>
    <w:p w:rsidR="008A54FC" w:rsidRDefault="008A54FC" w:rsidP="00A81711">
      <w:pPr>
        <w:pStyle w:val="ECCTablenote"/>
      </w:pPr>
    </w:p>
    <w:p w:rsidR="007C3130" w:rsidRDefault="007C3130" w:rsidP="007C3130">
      <w:pPr>
        <w:pStyle w:val="ECCAnnexheading2"/>
        <w:rPr>
          <w:bCs/>
        </w:rPr>
      </w:pPr>
      <w:r w:rsidRPr="001807EA">
        <w:rPr>
          <w:bCs/>
        </w:rPr>
        <w:t>Additional information</w:t>
      </w:r>
    </w:p>
    <w:p w:rsidR="007C3130" w:rsidRPr="007C3130" w:rsidRDefault="007C3130" w:rsidP="000F6780">
      <w:pPr>
        <w:pStyle w:val="NormalWeb"/>
        <w:numPr>
          <w:ilvl w:val="0"/>
          <w:numId w:val="16"/>
        </w:numPr>
        <w:spacing w:line="276" w:lineRule="auto"/>
        <w:jc w:val="both"/>
        <w:rPr>
          <w:rFonts w:ascii="Arial" w:hAnsi="Arial" w:cs="Arial"/>
          <w:sz w:val="20"/>
          <w:szCs w:val="20"/>
        </w:rPr>
      </w:pPr>
      <w:r w:rsidRPr="007C3130">
        <w:rPr>
          <w:rFonts w:ascii="Arial" w:hAnsi="Arial" w:cs="Arial"/>
          <w:sz w:val="20"/>
          <w:szCs w:val="20"/>
        </w:rPr>
        <w:t>In Canada, Industry Canada’s ‘</w:t>
      </w:r>
      <w:r w:rsidRPr="007C3130">
        <w:rPr>
          <w:rFonts w:ascii="Arial" w:hAnsi="Arial" w:cs="Arial"/>
          <w:i/>
          <w:iCs/>
          <w:sz w:val="20"/>
          <w:szCs w:val="20"/>
        </w:rPr>
        <w:t>Consultation on the Spectrum Allocations and Spectrum Utilization Policies for the Frequency Range 1435-1525 MHz (L-Band)</w:t>
      </w:r>
      <w:r w:rsidRPr="007C3130">
        <w:rPr>
          <w:rFonts w:ascii="Arial" w:hAnsi="Arial" w:cs="Arial"/>
          <w:sz w:val="20"/>
          <w:szCs w:val="20"/>
        </w:rPr>
        <w:t>’ (</w:t>
      </w:r>
      <w:hyperlink r:id="rId85" w:history="1">
        <w:r w:rsidRPr="007C3130">
          <w:rPr>
            <w:rStyle w:val="Lienhypertexte"/>
            <w:rFonts w:ascii="Arial" w:hAnsi="Arial" w:cs="Arial"/>
            <w:sz w:val="20"/>
            <w:szCs w:val="20"/>
          </w:rPr>
          <w:t>http://www.ic.gc.ca/eic/site/smt-gst.nsf/eng/sf09751.html</w:t>
        </w:r>
      </w:hyperlink>
      <w:r w:rsidRPr="007C3130">
        <w:rPr>
          <w:rFonts w:ascii="Arial" w:hAnsi="Arial" w:cs="Arial"/>
          <w:sz w:val="20"/>
          <w:szCs w:val="20"/>
        </w:rPr>
        <w:t xml:space="preserve">) considered that “with the convergence of fixed, broadcasting and mobile services over digital wireless platforms, a regulatory approach promoting flexible use of spectrum is increasingly important […].  Several countries that initially considered the band </w:t>
      </w:r>
      <w:r w:rsidRPr="007C3130">
        <w:rPr>
          <w:rStyle w:val="nowrap"/>
          <w:rFonts w:ascii="Arial" w:hAnsi="Arial" w:cs="Arial"/>
          <w:sz w:val="20"/>
          <w:szCs w:val="20"/>
        </w:rPr>
        <w:t>1452-1492 </w:t>
      </w:r>
      <w:r w:rsidRPr="007C3130">
        <w:rPr>
          <w:rStyle w:val="AcronymeHTML"/>
          <w:rFonts w:ascii="Arial" w:hAnsi="Arial" w:cs="Arial"/>
          <w:sz w:val="20"/>
          <w:szCs w:val="20"/>
        </w:rPr>
        <w:t>MHz</w:t>
      </w:r>
      <w:r w:rsidRPr="007C3130">
        <w:rPr>
          <w:rFonts w:ascii="Arial" w:hAnsi="Arial" w:cs="Arial"/>
          <w:sz w:val="20"/>
          <w:szCs w:val="20"/>
        </w:rPr>
        <w:t xml:space="preserve"> for DAB services have recently begun to </w:t>
      </w:r>
      <w:r w:rsidRPr="007C3130">
        <w:rPr>
          <w:rStyle w:val="nowrap"/>
          <w:rFonts w:ascii="Arial" w:hAnsi="Arial" w:cs="Arial"/>
          <w:sz w:val="20"/>
          <w:szCs w:val="20"/>
        </w:rPr>
        <w:t>re-farm</w:t>
      </w:r>
      <w:r w:rsidRPr="007C3130">
        <w:rPr>
          <w:rFonts w:ascii="Arial" w:hAnsi="Arial" w:cs="Arial"/>
          <w:sz w:val="20"/>
          <w:szCs w:val="20"/>
        </w:rPr>
        <w:t xml:space="preserve"> the spectrum for a range of broadcasting and multimedia applications within the international regulations and allocations […]. The prospect of a wide range of services in the band 1452-1492 MHz being allowed by industrialized countries in Europe and elsewhere further underlines the risk for Canada of pursuing only the conventional DAB service in this band. Consequently, the current allotment plan developed for the DAB implementation may not be appropriate given the new technologies that could be deployed in this band. Broadband wireless technologies, which support multimedia applications, are developed based on a 5 MHz channel width”. The department proposed to “adopt a spectrum utilization policy allowing for flexible use of the spectrum to support a variety of services and technologies for subscription broadcasting, multimedia, fixed and mobile broadband applications.” […] to streamline the Canadian frequency allocations in the band </w:t>
      </w:r>
      <w:r w:rsidRPr="007C3130">
        <w:rPr>
          <w:rStyle w:val="nowrap"/>
          <w:rFonts w:ascii="Arial" w:hAnsi="Arial" w:cs="Arial"/>
          <w:sz w:val="20"/>
          <w:szCs w:val="20"/>
        </w:rPr>
        <w:t>1452-1492 </w:t>
      </w:r>
      <w:r w:rsidRPr="007C3130">
        <w:rPr>
          <w:rStyle w:val="AcronymeHTML"/>
          <w:rFonts w:ascii="Arial" w:hAnsi="Arial" w:cs="Arial"/>
          <w:sz w:val="20"/>
          <w:szCs w:val="20"/>
        </w:rPr>
        <w:t>MHz</w:t>
      </w:r>
      <w:r w:rsidRPr="007C3130">
        <w:rPr>
          <w:rFonts w:ascii="Arial" w:hAnsi="Arial" w:cs="Arial"/>
          <w:sz w:val="20"/>
          <w:szCs w:val="20"/>
        </w:rPr>
        <w:t xml:space="preserve"> and to give full flexibility and priority to terrestrial services [… and] to elevate the status of mobile service to </w:t>
      </w:r>
      <w:r w:rsidRPr="007C3130">
        <w:rPr>
          <w:rStyle w:val="nowrap"/>
          <w:rFonts w:ascii="Arial" w:hAnsi="Arial" w:cs="Arial"/>
          <w:sz w:val="20"/>
          <w:szCs w:val="20"/>
        </w:rPr>
        <w:t>co-primary</w:t>
      </w:r>
      <w:r w:rsidRPr="007C3130">
        <w:rPr>
          <w:rFonts w:ascii="Arial" w:hAnsi="Arial" w:cs="Arial"/>
          <w:sz w:val="20"/>
          <w:szCs w:val="20"/>
        </w:rPr>
        <w:t xml:space="preserve"> with broadcasting and fixed services in the band </w:t>
      </w:r>
      <w:r w:rsidRPr="007C3130">
        <w:rPr>
          <w:rStyle w:val="nowrap"/>
          <w:rFonts w:ascii="Arial" w:hAnsi="Arial" w:cs="Arial"/>
          <w:sz w:val="20"/>
          <w:szCs w:val="20"/>
        </w:rPr>
        <w:t>1452-1492 </w:t>
      </w:r>
      <w:r w:rsidRPr="007C3130">
        <w:rPr>
          <w:rStyle w:val="AcronymeHTML"/>
          <w:rFonts w:ascii="Arial" w:hAnsi="Arial" w:cs="Arial"/>
          <w:sz w:val="20"/>
          <w:szCs w:val="20"/>
        </w:rPr>
        <w:t>MHz</w:t>
      </w:r>
      <w:r w:rsidRPr="007C3130">
        <w:rPr>
          <w:rFonts w:ascii="Arial" w:hAnsi="Arial" w:cs="Arial"/>
          <w:sz w:val="20"/>
          <w:szCs w:val="20"/>
        </w:rPr>
        <w:t>”.</w:t>
      </w:r>
    </w:p>
    <w:p w:rsidR="007C3130" w:rsidRPr="007C3130" w:rsidRDefault="007C3130" w:rsidP="000F6780">
      <w:pPr>
        <w:pStyle w:val="ECCParagraph"/>
        <w:numPr>
          <w:ilvl w:val="0"/>
          <w:numId w:val="17"/>
        </w:numPr>
        <w:ind w:left="426" w:hanging="426"/>
        <w:rPr>
          <w:rFonts w:cs="Arial"/>
          <w:szCs w:val="20"/>
          <w:lang w:val="en-US"/>
        </w:rPr>
      </w:pPr>
      <w:r w:rsidRPr="007C3130">
        <w:rPr>
          <w:rFonts w:cs="Arial"/>
          <w:szCs w:val="20"/>
        </w:rPr>
        <w:t xml:space="preserve">In Africa, CRASA, which groups together the 14 Southern African Development Community (SADC) countries, highlighted in its latest </w:t>
      </w:r>
      <w:r w:rsidRPr="007C3130">
        <w:rPr>
          <w:rFonts w:cs="Arial"/>
          <w:i/>
          <w:iCs/>
          <w:szCs w:val="20"/>
        </w:rPr>
        <w:t>Frequency Allocation Plan (FAP)</w:t>
      </w:r>
      <w:r w:rsidRPr="007C3130">
        <w:rPr>
          <w:rFonts w:cs="Arial"/>
          <w:szCs w:val="20"/>
        </w:rPr>
        <w:t xml:space="preserve"> (</w:t>
      </w:r>
      <w:hyperlink r:id="rId86" w:history="1">
        <w:r w:rsidRPr="007C3130">
          <w:rPr>
            <w:rStyle w:val="Lienhypertexte"/>
            <w:rFonts w:cs="Arial"/>
            <w:szCs w:val="20"/>
          </w:rPr>
          <w:t>www.crasa.org/download.php?doc=doc_pub_eng64.pdf</w:t>
        </w:r>
      </w:hyperlink>
      <w:r w:rsidRPr="007C3130">
        <w:rPr>
          <w:rFonts w:cs="Arial"/>
          <w:szCs w:val="20"/>
        </w:rPr>
        <w:t>), its</w:t>
      </w:r>
      <w:r w:rsidRPr="007C3130">
        <w:rPr>
          <w:rFonts w:cs="Arial"/>
          <w:i/>
          <w:iCs/>
          <w:szCs w:val="20"/>
        </w:rPr>
        <w:t xml:space="preserve"> </w:t>
      </w:r>
      <w:r w:rsidRPr="007C3130">
        <w:rPr>
          <w:rFonts w:cs="Arial"/>
          <w:szCs w:val="20"/>
        </w:rPr>
        <w:t>framework for the harmonisation across SADC on the use of the radio frequency spectrum,  that: “T-DAB in the 1452-1492 MHz to be reconsidered: whereas this band was used for testing of T-DAB it was felt by the majority that this allocation is no longer required. The use of this band in the future should be further investigated and clarified.”</w:t>
      </w:r>
    </w:p>
    <w:p w:rsidR="008A54FC" w:rsidRDefault="008A54FC">
      <w:pPr>
        <w:rPr>
          <w:lang w:val="en-GB"/>
        </w:rPr>
        <w:sectPr w:rsidR="008A54FC">
          <w:headerReference w:type="even" r:id="rId87"/>
          <w:headerReference w:type="default" r:id="rId88"/>
          <w:headerReference w:type="first" r:id="rId89"/>
          <w:pgSz w:w="11907" w:h="16840" w:code="9"/>
          <w:pgMar w:top="1440" w:right="1134" w:bottom="1440" w:left="1134" w:header="709" w:footer="709" w:gutter="0"/>
          <w:cols w:space="708"/>
          <w:docGrid w:linePitch="360"/>
        </w:sectPr>
      </w:pPr>
    </w:p>
    <w:p w:rsidR="00E41E35" w:rsidRDefault="00E41E35" w:rsidP="00E41E35">
      <w:pPr>
        <w:pStyle w:val="ECCAnnexheading1"/>
      </w:pPr>
      <w:bookmarkStart w:id="93" w:name="_Toc321318130"/>
      <w:bookmarkStart w:id="94" w:name="_Toc322126849"/>
      <w:r>
        <w:lastRenderedPageBreak/>
        <w:t>Broadcasting standards</w:t>
      </w:r>
      <w:bookmarkEnd w:id="93"/>
      <w:bookmarkEnd w:id="94"/>
    </w:p>
    <w:p w:rsidR="00E41E35" w:rsidRDefault="00E41E35" w:rsidP="000F6780">
      <w:pPr>
        <w:pStyle w:val="ECCAnnexheading2"/>
        <w:numPr>
          <w:ilvl w:val="1"/>
          <w:numId w:val="26"/>
        </w:numPr>
        <w:textAlignment w:val="auto"/>
      </w:pPr>
      <w:r>
        <w:t>Terrestrial broadcasting</w:t>
      </w:r>
    </w:p>
    <w:p w:rsidR="00E41E35" w:rsidRDefault="00E41E35" w:rsidP="00E41E35">
      <w:pPr>
        <w:pStyle w:val="ECCParagraph"/>
        <w:rPr>
          <w:b/>
          <w:i/>
        </w:rPr>
      </w:pPr>
      <w:r>
        <w:rPr>
          <w:b/>
          <w:i/>
        </w:rPr>
        <w:t>T-DAB / T-DMB</w:t>
      </w:r>
    </w:p>
    <w:p w:rsidR="00E41E35" w:rsidRDefault="00E41E35" w:rsidP="00E41E35">
      <w:pPr>
        <w:pStyle w:val="ECCParagraph"/>
        <w:spacing w:before="120" w:after="0"/>
      </w:pPr>
      <w:r>
        <w:t>Terrestrial Broadcasting using the Eureka 147 family of standards (T-DAB)</w:t>
      </w:r>
    </w:p>
    <w:p w:rsidR="00E41E35" w:rsidRDefault="00E41E35" w:rsidP="00E41E35">
      <w:pPr>
        <w:pStyle w:val="ECCParagraph"/>
        <w:spacing w:before="120" w:after="0"/>
      </w:pPr>
      <w:r>
        <w:t xml:space="preserve">The DAB system is a sound broadcasting system intended to supersede the existing analogue amplitude and frequency modulation systems. </w:t>
      </w:r>
    </w:p>
    <w:p w:rsidR="00E41E35" w:rsidRDefault="00E41E35" w:rsidP="00E41E35">
      <w:pPr>
        <w:pStyle w:val="ECCParagraph"/>
        <w:spacing w:before="120" w:after="0"/>
      </w:pPr>
      <w:r>
        <w:t>It has been designed for terrestrial and satellite as well as for hybrid and mixed delivery.</w:t>
      </w:r>
    </w:p>
    <w:p w:rsidR="00E41E35" w:rsidRDefault="00E41E35" w:rsidP="00E41E35">
      <w:pPr>
        <w:pStyle w:val="ECCParagraph"/>
        <w:spacing w:before="120" w:after="0"/>
      </w:pPr>
      <w:r>
        <w:t>It is now in regular service in many European countries and throughout the world.</w:t>
      </w:r>
    </w:p>
    <w:p w:rsidR="00E41E35" w:rsidRDefault="00E41E35" w:rsidP="00E41E35">
      <w:pPr>
        <w:pStyle w:val="ECCParagraph"/>
        <w:spacing w:before="120" w:after="0"/>
      </w:pPr>
      <w:r>
        <w:t>DAB and DAB+ offer an identical consumer experience centred on radio, with text, slideshow, EPG and other multimedia features. DAB offers eight to ten radio services within a 1.5 MHz multiplex whilst DAB+ (using HE AACv2) can accommodate up to 20–30 radio services in the same spectrum. DMB is primarily a mobile TV platform, sharing the same multiplex and carrier structure as DAB, but it can be used for a visual radio service with similar multimedia properties to DAB and DAB+.</w:t>
      </w:r>
    </w:p>
    <w:p w:rsidR="00E41E35" w:rsidRDefault="00E41E35" w:rsidP="00E41E35">
      <w:pPr>
        <w:pStyle w:val="ECCParagraph"/>
        <w:spacing w:before="120" w:after="0"/>
      </w:pPr>
      <w:r>
        <w:t>Single frequency networks are commonly built to provide wide area coverage with great spectrum efficiency. Multi-frequency networks, allowing more localised content, are also provided with comprehensive service following mechanisms to allow mobile and handheld receivers to retune automatically when travelling between coverage areas.</w:t>
      </w:r>
    </w:p>
    <w:p w:rsidR="00E41E35" w:rsidRDefault="00E41E35" w:rsidP="00E41E35">
      <w:pPr>
        <w:pStyle w:val="ECCParagraph"/>
        <w:spacing w:before="120" w:after="0"/>
      </w:pPr>
      <w:r>
        <w:t>DAB, DAB+, DMB-radio and DMB-tv services may all be present in the same DAB multiplex.</w:t>
      </w:r>
    </w:p>
    <w:p w:rsidR="00E41E35" w:rsidRDefault="00E41E35" w:rsidP="00E41E35">
      <w:pPr>
        <w:pStyle w:val="ECCParagraph"/>
        <w:spacing w:before="120" w:after="0"/>
      </w:pPr>
      <w:r>
        <w:t>Typical services carried by a DAB multiplex are:</w:t>
      </w:r>
    </w:p>
    <w:p w:rsidR="00E41E35" w:rsidRDefault="00E41E35" w:rsidP="00E41E35">
      <w:pPr>
        <w:pStyle w:val="ECCParagraph"/>
        <w:spacing w:before="120" w:after="0"/>
        <w:ind w:left="567" w:hanging="283"/>
      </w:pPr>
      <w:r>
        <w:t>•</w:t>
      </w:r>
      <w:r>
        <w:tab/>
        <w:t>Audio programs</w:t>
      </w:r>
    </w:p>
    <w:p w:rsidR="00E41E35" w:rsidRDefault="00E41E35" w:rsidP="00E41E35">
      <w:pPr>
        <w:pStyle w:val="ECCParagraph"/>
        <w:spacing w:after="0"/>
        <w:ind w:left="567" w:hanging="283"/>
      </w:pPr>
      <w:r>
        <w:t>•</w:t>
      </w:r>
      <w:r>
        <w:tab/>
        <w:t>Video programs</w:t>
      </w:r>
    </w:p>
    <w:p w:rsidR="00E41E35" w:rsidRDefault="00E41E35" w:rsidP="00E41E35">
      <w:pPr>
        <w:pStyle w:val="ECCParagraph"/>
        <w:spacing w:after="0"/>
        <w:ind w:left="567" w:hanging="283"/>
      </w:pPr>
      <w:r>
        <w:t>•</w:t>
      </w:r>
      <w:r>
        <w:tab/>
        <w:t>Slideshow (SL)</w:t>
      </w:r>
    </w:p>
    <w:p w:rsidR="00E41E35" w:rsidRDefault="00E41E35" w:rsidP="00E41E35">
      <w:pPr>
        <w:pStyle w:val="ECCParagraph"/>
        <w:spacing w:after="0"/>
        <w:ind w:left="567" w:hanging="283"/>
      </w:pPr>
      <w:r>
        <w:t>•</w:t>
      </w:r>
      <w:r>
        <w:tab/>
        <w:t>Dynamic text (DL)</w:t>
      </w:r>
    </w:p>
    <w:p w:rsidR="00E41E35" w:rsidRDefault="00E41E35" w:rsidP="00E41E35">
      <w:pPr>
        <w:pStyle w:val="ECCParagraph"/>
        <w:spacing w:after="0"/>
        <w:ind w:left="567" w:hanging="283"/>
      </w:pPr>
      <w:r>
        <w:t>•</w:t>
      </w:r>
      <w:r>
        <w:tab/>
        <w:t>Traffic information (TPEG)</w:t>
      </w:r>
    </w:p>
    <w:p w:rsidR="00E41E35" w:rsidRDefault="00E41E35" w:rsidP="00E41E35">
      <w:pPr>
        <w:pStyle w:val="ECCParagraph"/>
        <w:spacing w:after="0"/>
        <w:ind w:left="567" w:hanging="283"/>
      </w:pPr>
      <w:r>
        <w:t>•</w:t>
      </w:r>
      <w:r>
        <w:tab/>
        <w:t>Multimedia object delivery</w:t>
      </w:r>
    </w:p>
    <w:p w:rsidR="00E41E35" w:rsidRDefault="00E41E35" w:rsidP="00E41E35">
      <w:pPr>
        <w:pStyle w:val="ECCParagraph"/>
        <w:rPr>
          <w:b/>
          <w:i/>
        </w:rPr>
      </w:pPr>
    </w:p>
    <w:p w:rsidR="00E41E35" w:rsidRDefault="00E41E35" w:rsidP="00E41E35">
      <w:pPr>
        <w:pStyle w:val="ECCParagraph"/>
        <w:spacing w:after="120"/>
        <w:rPr>
          <w:b/>
          <w:i/>
        </w:rPr>
      </w:pPr>
      <w:r>
        <w:rPr>
          <w:b/>
          <w:i/>
        </w:rPr>
        <w:t>DAB-IP</w:t>
      </w:r>
    </w:p>
    <w:p w:rsidR="00E41E35" w:rsidRDefault="00E41E35" w:rsidP="00E41E35">
      <w:pPr>
        <w:pStyle w:val="ECCParagraph"/>
        <w:spacing w:before="120" w:after="0"/>
      </w:pPr>
      <w:r>
        <w:t>The use of IP tunnelling provides DAB with a mechanism for the adaptation of Internet services to DAB and is also a key component for DAB services using two-way interaction with personal DAB as specified in TS 101 736. The use of IP tunnelling enables the use of IP as a common network layer protocol, end-to-end, for DAB data services. The IP tunnelling through DAB is unidirectional. The tunnel is created from the packet mode encoder on the transmitting side, to the packet mode decoder on the receiving side, of the DAB system.</w:t>
      </w:r>
    </w:p>
    <w:p w:rsidR="00E41E35" w:rsidRDefault="00E41E35" w:rsidP="00E41E35">
      <w:pPr>
        <w:pStyle w:val="ECCParagraph"/>
        <w:spacing w:before="120" w:after="0"/>
      </w:pPr>
      <w:r>
        <w:t>This system, commonly called DAB-IP, can provide data services including mobile television, to handheld devices. When coupled with a return channel it allows the downlink of multimedia services.</w:t>
      </w:r>
    </w:p>
    <w:p w:rsidR="00E41E35" w:rsidRDefault="00E41E35" w:rsidP="00E41E35">
      <w:pPr>
        <w:pStyle w:val="ECCParagraph"/>
        <w:spacing w:before="120" w:after="0"/>
      </w:pPr>
      <w:r>
        <w:t>The benefits of the DAB family of standards:</w:t>
      </w:r>
    </w:p>
    <w:p w:rsidR="00E41E35" w:rsidRDefault="00E41E35" w:rsidP="00E41E35">
      <w:pPr>
        <w:pStyle w:val="ECCParagraph"/>
        <w:spacing w:after="0"/>
        <w:ind w:left="568" w:hanging="284"/>
      </w:pPr>
      <w:r>
        <w:t>•</w:t>
      </w:r>
      <w:r>
        <w:tab/>
        <w:t xml:space="preserve">Easy programme selection </w:t>
      </w:r>
    </w:p>
    <w:p w:rsidR="00E41E35" w:rsidRDefault="00E41E35" w:rsidP="00E41E35">
      <w:pPr>
        <w:pStyle w:val="ECCParagraph"/>
        <w:spacing w:after="0"/>
        <w:ind w:left="567" w:hanging="283"/>
      </w:pPr>
      <w:r>
        <w:t>•</w:t>
      </w:r>
      <w:r>
        <w:tab/>
        <w:t xml:space="preserve">Improved reception </w:t>
      </w:r>
    </w:p>
    <w:p w:rsidR="00E41E35" w:rsidRDefault="00E41E35" w:rsidP="00E41E35">
      <w:pPr>
        <w:pStyle w:val="ECCParagraph"/>
        <w:spacing w:after="0"/>
        <w:ind w:left="567" w:hanging="283"/>
      </w:pPr>
      <w:r>
        <w:t>•</w:t>
      </w:r>
      <w:r>
        <w:tab/>
        <w:t xml:space="preserve">Programme-associated data </w:t>
      </w:r>
    </w:p>
    <w:p w:rsidR="00E41E35" w:rsidRDefault="00E41E35" w:rsidP="00E41E35">
      <w:pPr>
        <w:pStyle w:val="ECCParagraph"/>
        <w:spacing w:after="0"/>
        <w:ind w:left="567" w:hanging="283"/>
      </w:pPr>
      <w:r>
        <w:t>•</w:t>
      </w:r>
      <w:r>
        <w:tab/>
        <w:t xml:space="preserve">Information services </w:t>
      </w:r>
    </w:p>
    <w:p w:rsidR="00E41E35" w:rsidRDefault="00E41E35" w:rsidP="00E41E35">
      <w:pPr>
        <w:pStyle w:val="ECCParagraph"/>
        <w:spacing w:after="0"/>
        <w:ind w:left="567" w:hanging="283"/>
      </w:pPr>
      <w:r>
        <w:t>•</w:t>
      </w:r>
      <w:r>
        <w:tab/>
        <w:t xml:space="preserve">Targeted music or data services </w:t>
      </w:r>
    </w:p>
    <w:p w:rsidR="00E41E35" w:rsidRDefault="00E41E35" w:rsidP="00E41E35">
      <w:pPr>
        <w:pStyle w:val="ECCParagraph"/>
        <w:spacing w:after="0"/>
        <w:ind w:left="567" w:hanging="283"/>
      </w:pPr>
      <w:r>
        <w:t>•</w:t>
      </w:r>
      <w:r>
        <w:tab/>
        <w:t xml:space="preserve">Wide choice of receivers </w:t>
      </w:r>
    </w:p>
    <w:p w:rsidR="00E41E35" w:rsidRDefault="00E41E35" w:rsidP="00E41E35">
      <w:pPr>
        <w:pStyle w:val="ECCParagraph"/>
        <w:spacing w:after="0"/>
        <w:ind w:left="567" w:hanging="283"/>
      </w:pPr>
      <w:r>
        <w:t>•</w:t>
      </w:r>
      <w:r>
        <w:tab/>
        <w:t xml:space="preserve">Lower transmission costs for broadcasters </w:t>
      </w:r>
    </w:p>
    <w:p w:rsidR="00E41E35" w:rsidRDefault="00E41E35" w:rsidP="00E41E35">
      <w:pPr>
        <w:pStyle w:val="ECCParagraph"/>
      </w:pPr>
    </w:p>
    <w:p w:rsidR="00E41E35" w:rsidRDefault="00E41E35" w:rsidP="00E41E35">
      <w:pPr>
        <w:pStyle w:val="ECCParagraph"/>
        <w:spacing w:after="120"/>
        <w:rPr>
          <w:b/>
          <w:i/>
        </w:rPr>
      </w:pPr>
      <w:r>
        <w:rPr>
          <w:b/>
          <w:i/>
        </w:rPr>
        <w:t>DVB-H</w:t>
      </w:r>
    </w:p>
    <w:p w:rsidR="00E41E35" w:rsidRDefault="00E41E35" w:rsidP="00E41E35">
      <w:pPr>
        <w:pStyle w:val="ECCParagraph"/>
        <w:spacing w:before="120" w:after="0"/>
      </w:pPr>
      <w:r>
        <w:lastRenderedPageBreak/>
        <w:t xml:space="preserve">DVB-H is a technical specification for the transmission of digital TV to handheld receivers such as mobile telephones and PDAs. Published as a formal standard (EN 203 204) by ETSI in November 2004, it is a physical layer specification designed to enable the efficient delivery of IP-encapsulated data over terrestrial networks. The creation of DVB-H, which is closely related to DVB-T, also entailed modifications of some other DVB standards dealing with data broadcasting, Service Information, etc. It can be used as a bearer in conjunction with the DVB-IPDC systems layer specifications or alternatively with the OMA BCAST specifications. </w:t>
      </w:r>
    </w:p>
    <w:p w:rsidR="00E41E35" w:rsidRDefault="00E41E35" w:rsidP="00E41E35">
      <w:pPr>
        <w:pStyle w:val="ECCParagraph"/>
        <w:spacing w:before="120" w:after="0"/>
      </w:pPr>
      <w:r>
        <w:t>In March 2008 the European Commission endorsed DVB-H as the recommended standard for mobile TV in Europe, recommending EU member states to encourage its implementation., However, commercial deployment has not been successful. ..</w:t>
      </w:r>
    </w:p>
    <w:p w:rsidR="00E41E35" w:rsidRDefault="00E41E35" w:rsidP="00E41E35">
      <w:pPr>
        <w:pStyle w:val="ECCParagraph"/>
      </w:pPr>
    </w:p>
    <w:p w:rsidR="00E41E35" w:rsidRDefault="00E41E35" w:rsidP="00E41E35">
      <w:pPr>
        <w:pStyle w:val="ECCParagraph"/>
        <w:rPr>
          <w:b/>
          <w:i/>
        </w:rPr>
      </w:pPr>
      <w:r>
        <w:rPr>
          <w:b/>
          <w:i/>
        </w:rPr>
        <w:t>DVB-T2 - Base</w:t>
      </w:r>
    </w:p>
    <w:p w:rsidR="00E41E35" w:rsidRDefault="00E41E35" w:rsidP="00E41E35">
      <w:pPr>
        <w:pStyle w:val="ECCParagraph"/>
        <w:spacing w:before="120" w:after="0"/>
      </w:pPr>
      <w:r>
        <w:t>DVB-T2 is the follow-up system of the digital terrestrial transmission (DTT) system DVB-T. It offers higher efficiency, robustness and flexibility. It introduces the latest modulation and coding techniques to enable highly efficient use of the terrestrial spectrum for the delivery of audio, video and data services to fixed, portable and mobile devices. These new techniques make DVB-T2 much more efficient than previous DTT systems. Possible bandwidths for the DVB-T2 operation are 1.7, 5, 6, 7, 8 and 10 MHz.</w:t>
      </w:r>
    </w:p>
    <w:p w:rsidR="00E41E35" w:rsidRDefault="00E41E35" w:rsidP="00E41E35">
      <w:pPr>
        <w:pStyle w:val="ECCParagraph"/>
        <w:spacing w:before="120" w:after="0"/>
      </w:pPr>
      <w:r>
        <w:t>As with its predecessor, DVB-T2 uses OFDM (orthogonal frequency division multiplex) modulation with a large number of sub-carriers delivering a robust signal. Just like DVB-T, DVB-T2 also offers a range of different modes, making it a very flexible standard. Several options are available in areas such as the number of carriers, guard interval sizes and pilot signals, so that the overheads can be optimised for any target transmission channel.</w:t>
      </w:r>
    </w:p>
    <w:p w:rsidR="00E41E35" w:rsidRDefault="00E41E35" w:rsidP="00E41E35">
      <w:pPr>
        <w:pStyle w:val="ECCParagraph"/>
        <w:spacing w:before="120" w:after="0"/>
      </w:pPr>
      <w:r>
        <w:t xml:space="preserve">An important new element of DVB-T2 are Multiple Physical Layer Pipes (MPLP) which allow separate adjustment of the robustness of each delivered service within a channel to meet the required reception conditions (e.g. in-door or roof-top antenna). It also allows transmissions to be tailored such that a receiver can save power by decoding only a single service rather than the whole multiplex of services. Furthermore Future Extension Frames (FEF) allow the standard to be compatibly enhanced in the future. FEF are basically placeholders for new services which are not supported by the already existing receiver population. An existing receiver will detect the FEF and not decode its content. New receivers may access the FEF and provide additional services. </w:t>
      </w:r>
    </w:p>
    <w:p w:rsidR="00E41E35" w:rsidRDefault="00E41E35" w:rsidP="00E41E35">
      <w:pPr>
        <w:pStyle w:val="ECCParagraph"/>
      </w:pPr>
    </w:p>
    <w:p w:rsidR="00E41E35" w:rsidRDefault="00E41E35" w:rsidP="00E41E35">
      <w:pPr>
        <w:pStyle w:val="ECCParagraph"/>
        <w:rPr>
          <w:b/>
          <w:i/>
        </w:rPr>
      </w:pPr>
      <w:r>
        <w:rPr>
          <w:b/>
          <w:i/>
        </w:rPr>
        <w:t>DVB-T2-Lite</w:t>
      </w:r>
    </w:p>
    <w:p w:rsidR="00E41E35" w:rsidRDefault="00E41E35" w:rsidP="00E41E35">
      <w:pPr>
        <w:pStyle w:val="ECCParagraph"/>
        <w:spacing w:before="120" w:after="0"/>
      </w:pPr>
      <w:r>
        <w:t xml:space="preserve">DVB-T2-Lite is the first additional transmission frame type making use of the FEF approach. It is an additional profile that was introduced in July 2011 to even better support mobile as well as portable TV and also to allow for cost-reduced implementation. The new profile is defined as a subset that adds two additional LDPC code rates to the main DVB-T2 specification. Since only elements relevant for mobile and portable reception have been included in the DVB-T2-Lite subset and the data rate is restricted to 4 Mbit/s per PLP, the implementation complexity has been reduced by 50%. The FEF mechanism allows that </w:t>
      </w:r>
    </w:p>
    <w:p w:rsidR="00E41E35" w:rsidRDefault="00E41E35" w:rsidP="00E41E35">
      <w:pPr>
        <w:pStyle w:val="ECCParagraph"/>
        <w:spacing w:before="120" w:after="0"/>
      </w:pPr>
      <w:r>
        <w:t>DVB-T2-Lite and DVB-T2-Base can be transmitted in a same RF channel.</w:t>
      </w:r>
    </w:p>
    <w:p w:rsidR="00E41E35" w:rsidRDefault="00E41E35" w:rsidP="00E41E35">
      <w:pPr>
        <w:pStyle w:val="ECCParagraph"/>
      </w:pPr>
    </w:p>
    <w:p w:rsidR="00E41E35" w:rsidRDefault="00E41E35" w:rsidP="00E41E35">
      <w:pPr>
        <w:pStyle w:val="ECCParagraph"/>
        <w:rPr>
          <w:b/>
          <w:i/>
        </w:rPr>
      </w:pPr>
      <w:r>
        <w:rPr>
          <w:b/>
          <w:i/>
        </w:rPr>
        <w:t>DVB-T2-xxx</w:t>
      </w:r>
    </w:p>
    <w:p w:rsidR="00E41E35" w:rsidRDefault="00E41E35" w:rsidP="00E41E35">
      <w:pPr>
        <w:pStyle w:val="ECCParagraph"/>
        <w:spacing w:before="120" w:after="0"/>
      </w:pPr>
      <w:r>
        <w:t>DVB-T2-Lite will not be the last additional profile for DVB-T2. The DVB technical group is currently working on an additional profile which will add new technologies to T2-lite. At this moment in time it is too early to predict which new elements will be added, however it can be assumed that MIMO will be a part of the new profile. According to the current schedule this new profile will be finalised by the end of 2011 and will provide the most sophisticated air interface for mobile TV.</w:t>
      </w:r>
    </w:p>
    <w:p w:rsidR="00E41E35" w:rsidRDefault="00E41E35" w:rsidP="000F6780">
      <w:pPr>
        <w:pStyle w:val="ECCAnnexheading2"/>
        <w:numPr>
          <w:ilvl w:val="1"/>
          <w:numId w:val="26"/>
        </w:numPr>
        <w:textAlignment w:val="auto"/>
      </w:pPr>
      <w:r>
        <w:t>2. SDR</w:t>
      </w:r>
    </w:p>
    <w:p w:rsidR="00E41E35" w:rsidRDefault="00E41E35" w:rsidP="00E41E35">
      <w:pPr>
        <w:pStyle w:val="ECCParagraph"/>
        <w:spacing w:before="120" w:after="0"/>
      </w:pPr>
      <w:r>
        <w:t xml:space="preserve">ETSI’s SDR standard is a transmission standard (see also section 3.5.) that has been developed for the provision of high quality and high availability digital radio and associated data services to wireless receivers. </w:t>
      </w:r>
      <w:r>
        <w:lastRenderedPageBreak/>
        <w:t>The standard foresees the deployment of terrestrial and satellite broadcast networks, which may be combined to form “hybrid” systems.</w:t>
      </w:r>
    </w:p>
    <w:p w:rsidR="00E41E35" w:rsidRDefault="00E41E35" w:rsidP="00E41E35">
      <w:pPr>
        <w:pStyle w:val="ECCParagraph"/>
        <w:spacing w:before="120" w:after="0"/>
      </w:pPr>
      <w:r>
        <w:t>The standard specifies the L band as the main candidate band for its deployment. In this band, terrestrial SDR networks (1.7 MHz carrier bandwidth) can be rolled out:</w:t>
      </w:r>
    </w:p>
    <w:p w:rsidR="00E41E35" w:rsidRDefault="00E41E35" w:rsidP="00E41E35">
      <w:pPr>
        <w:pStyle w:val="ECCParagraph"/>
        <w:spacing w:before="120" w:after="0"/>
        <w:ind w:left="567" w:hanging="283"/>
      </w:pPr>
      <w:r>
        <w:t>•</w:t>
      </w:r>
      <w:r>
        <w:tab/>
        <w:t>in the 1452-1579.5 MHz sub band, in compliance with the MA02revCO07 Arrangement (envelope concept), and/or</w:t>
      </w:r>
    </w:p>
    <w:p w:rsidR="00E41E35" w:rsidRDefault="00E41E35" w:rsidP="00E41E35">
      <w:pPr>
        <w:pStyle w:val="ECCParagraph"/>
        <w:spacing w:before="120" w:after="0"/>
        <w:ind w:left="567" w:hanging="283"/>
      </w:pPr>
      <w:r>
        <w:t>•</w:t>
      </w:r>
      <w:r>
        <w:tab/>
        <w:t>in the 1479.5-1492 MHz sub band, in compliance with the ECC/DEC/(03)02 S-DAB Decision, as part of an SDR hybrid system (see also section 3.5)</w:t>
      </w:r>
    </w:p>
    <w:p w:rsidR="00E41E35" w:rsidRDefault="00E41E35" w:rsidP="00E41E35">
      <w:pPr>
        <w:pStyle w:val="ECCParagraph"/>
        <w:spacing w:before="120" w:after="0"/>
      </w:pPr>
      <w:r>
        <w:t>Its flexibility enables to mix in a same carrier independent (with different QoS as necessary), linear and non-linear services and free-to-air as well as conditional access (subscription) services.</w:t>
      </w:r>
    </w:p>
    <w:p w:rsidR="00E41E35" w:rsidRDefault="00E41E35" w:rsidP="00E41E35">
      <w:pPr>
        <w:pStyle w:val="ECCParagraph"/>
        <w:spacing w:before="120" w:after="0"/>
      </w:pPr>
      <w:r>
        <w:t>Today, the SDR standard is contemplated for the deployment of subscription radio services in Europe.</w:t>
      </w:r>
    </w:p>
    <w:p w:rsidR="00E41E35" w:rsidRDefault="00E41E35" w:rsidP="000F6780">
      <w:pPr>
        <w:pStyle w:val="ECCAnnexheading2"/>
        <w:numPr>
          <w:ilvl w:val="1"/>
          <w:numId w:val="26"/>
        </w:numPr>
        <w:textAlignment w:val="auto"/>
      </w:pPr>
      <w:r>
        <w:t>3. Satellite broadcasting</w:t>
      </w:r>
    </w:p>
    <w:p w:rsidR="00E41E35" w:rsidRDefault="00E41E35" w:rsidP="00E41E35">
      <w:pPr>
        <w:pStyle w:val="ECCParagraph"/>
        <w:spacing w:before="120" w:after="0"/>
        <w:rPr>
          <w:i/>
        </w:rPr>
      </w:pPr>
      <w:r>
        <w:rPr>
          <w:i/>
        </w:rPr>
        <w:t>DVB-SH</w:t>
      </w:r>
    </w:p>
    <w:p w:rsidR="00E41E35" w:rsidRDefault="00E41E35" w:rsidP="00E41E35">
      <w:pPr>
        <w:pStyle w:val="ECCParagraph"/>
        <w:spacing w:before="120" w:after="0"/>
      </w:pPr>
      <w:r>
        <w:t>DVB-SH is a hybrid satellite/terrestrial system that allows the use of a satellite to achieve coverage of large regions or even a whole country. DVB-SH is a transmission system standard designed to deliver video, audio and data services to vehicles and handheld devices. In areas where direct reception of the satellite signal is not possible, a terrestrial gap filler can be used seamlessly to provide coverage. It is designed to use frequencies below 3 GHz. The system and waveform specifications have been published as ETSI standards (TS 102 584, TS 102 585 and EN 302 583).</w:t>
      </w:r>
    </w:p>
    <w:p w:rsidR="00E41E35" w:rsidRDefault="00E41E35" w:rsidP="00E41E35">
      <w:pPr>
        <w:pStyle w:val="ECCParagraph"/>
        <w:spacing w:before="120" w:after="0"/>
      </w:pPr>
    </w:p>
    <w:p w:rsidR="00E41E35" w:rsidRPr="00E41E35" w:rsidRDefault="00E41E35" w:rsidP="00E41E35">
      <w:pPr>
        <w:pStyle w:val="ECCParagraph"/>
      </w:pPr>
      <w:r>
        <w:rPr>
          <w:szCs w:val="20"/>
        </w:rPr>
        <w:br w:type="page"/>
      </w:r>
    </w:p>
    <w:p w:rsidR="008A54FC" w:rsidRDefault="008A54FC" w:rsidP="00550D79">
      <w:pPr>
        <w:pStyle w:val="ECCAnnexheading1"/>
      </w:pPr>
      <w:bookmarkStart w:id="95" w:name="_Toc322126850"/>
      <w:r>
        <w:lastRenderedPageBreak/>
        <w:t>List of reference</w:t>
      </w:r>
      <w:bookmarkEnd w:id="95"/>
    </w:p>
    <w:p w:rsidR="00B055B7" w:rsidRPr="00CF580E" w:rsidRDefault="00B055B7" w:rsidP="008A54FC">
      <w:pPr>
        <w:pStyle w:val="reference"/>
        <w:rPr>
          <w:rFonts w:cs="Arial"/>
          <w:szCs w:val="20"/>
        </w:rPr>
      </w:pPr>
      <w:r w:rsidRPr="00CF580E">
        <w:rPr>
          <w:rFonts w:cs="Arial"/>
        </w:rPr>
        <w:t xml:space="preserve">RR: Radio </w:t>
      </w:r>
      <w:r w:rsidRPr="00CF580E">
        <w:rPr>
          <w:rFonts w:cs="Arial"/>
          <w:szCs w:val="20"/>
        </w:rPr>
        <w:t>Regulations</w:t>
      </w:r>
    </w:p>
    <w:p w:rsidR="00CF580E" w:rsidRPr="00CF580E" w:rsidRDefault="00B055B7" w:rsidP="00CF580E">
      <w:pPr>
        <w:pStyle w:val="reference"/>
        <w:rPr>
          <w:rFonts w:cs="Arial"/>
          <w:szCs w:val="20"/>
        </w:rPr>
      </w:pPr>
      <w:r w:rsidRPr="00CF580E">
        <w:rPr>
          <w:rFonts w:cs="Arial"/>
          <w:szCs w:val="20"/>
        </w:rPr>
        <w:t>MA02revCO07: The Maastricht, 2002, Special Arrangem</w:t>
      </w:r>
      <w:r w:rsidR="00CF580E" w:rsidRPr="00CF580E">
        <w:rPr>
          <w:rFonts w:cs="Arial"/>
          <w:szCs w:val="20"/>
        </w:rPr>
        <w:t>ent, as revised in Constanţa</w:t>
      </w:r>
    </w:p>
    <w:p w:rsidR="008A54FC" w:rsidRPr="00CF580E" w:rsidRDefault="00A23A71" w:rsidP="00CF580E">
      <w:pPr>
        <w:pStyle w:val="reference"/>
        <w:rPr>
          <w:rFonts w:cs="Arial"/>
          <w:szCs w:val="20"/>
        </w:rPr>
      </w:pPr>
      <w:hyperlink r:id="rId90" w:history="1">
        <w:r w:rsidR="00CF580E" w:rsidRPr="00CF580E">
          <w:rPr>
            <w:rStyle w:val="Lienhypertexte"/>
            <w:rFonts w:cs="Arial"/>
            <w:color w:val="auto"/>
            <w:szCs w:val="20"/>
          </w:rPr>
          <w:t>CEPT Report 18</w:t>
        </w:r>
      </w:hyperlink>
      <w:r w:rsidR="00CF580E" w:rsidRPr="00CF580E">
        <w:rPr>
          <w:rStyle w:val="Lienhypertexte"/>
          <w:rFonts w:cs="Arial"/>
          <w:color w:val="auto"/>
          <w:szCs w:val="20"/>
        </w:rPr>
        <w:t xml:space="preserve">: </w:t>
      </w:r>
      <w:r w:rsidR="00CF580E" w:rsidRPr="00CF580E">
        <w:rPr>
          <w:rFonts w:cs="Arial"/>
          <w:szCs w:val="20"/>
        </w:rPr>
        <w:t>EU harmonisation of the band 1452 – 1479.5 MHz (lower part of L-band) to allow flexible use by mobile multimedia technologies</w:t>
      </w:r>
    </w:p>
    <w:p w:rsidR="00CF580E" w:rsidRPr="00CF580E" w:rsidRDefault="00CF580E" w:rsidP="008A54FC">
      <w:pPr>
        <w:pStyle w:val="reference"/>
        <w:rPr>
          <w:rFonts w:cs="Arial"/>
          <w:szCs w:val="20"/>
        </w:rPr>
      </w:pPr>
      <w:r w:rsidRPr="00CF580E">
        <w:rPr>
          <w:rFonts w:cs="Arial"/>
          <w:szCs w:val="20"/>
        </w:rPr>
        <w:t>ECC Decision (03)02: ECC Decision of 17 October 2003 on the designation of the frequency band 1479.5-1492 MHz for use by Satellite Digital Audio Broadcasting systems</w:t>
      </w:r>
    </w:p>
    <w:p w:rsidR="00CF580E" w:rsidRPr="00CF580E" w:rsidRDefault="00CF580E" w:rsidP="008A54FC">
      <w:pPr>
        <w:pStyle w:val="reference"/>
        <w:rPr>
          <w:rFonts w:cs="Arial"/>
          <w:szCs w:val="20"/>
        </w:rPr>
      </w:pPr>
      <w:r w:rsidRPr="00CF580E">
        <w:rPr>
          <w:rFonts w:cs="Arial"/>
          <w:szCs w:val="20"/>
        </w:rPr>
        <w:t>ECC Report 125: Guidelines for the implementation of impact assessment in relation to spectrum matters</w:t>
      </w:r>
    </w:p>
    <w:p w:rsidR="00CF580E" w:rsidRPr="00CF580E" w:rsidRDefault="00CF580E" w:rsidP="00CF580E">
      <w:pPr>
        <w:pStyle w:val="reference"/>
        <w:rPr>
          <w:rFonts w:cs="Arial"/>
          <w:szCs w:val="20"/>
        </w:rPr>
      </w:pPr>
      <w:r w:rsidRPr="00CF580E">
        <w:rPr>
          <w:rFonts w:cs="Arial"/>
          <w:szCs w:val="20"/>
        </w:rPr>
        <w:t>Recommendation ITU-R P.370-7: VHF and UHF propagation curves for the frequency range from 30 MHz to 1 000 MHz. Broadcasting services</w:t>
      </w:r>
    </w:p>
    <w:p w:rsidR="00E41E35" w:rsidRDefault="00E41E35" w:rsidP="000F6780">
      <w:pPr>
        <w:pStyle w:val="reference"/>
        <w:numPr>
          <w:ilvl w:val="0"/>
          <w:numId w:val="24"/>
        </w:numPr>
        <w:rPr>
          <w:rFonts w:cs="Arial"/>
          <w:szCs w:val="20"/>
        </w:rPr>
      </w:pPr>
      <w:r>
        <w:rPr>
          <w:rFonts w:cs="Arial"/>
          <w:szCs w:val="20"/>
        </w:rPr>
        <w:t>ECC Report 002: SAP/SAB (Incl. ENG/OB) - Spectrum use and future requirements</w:t>
      </w:r>
    </w:p>
    <w:p w:rsidR="00E41E35" w:rsidRDefault="00E41E35" w:rsidP="000F6780">
      <w:pPr>
        <w:pStyle w:val="reference"/>
        <w:numPr>
          <w:ilvl w:val="0"/>
          <w:numId w:val="24"/>
        </w:numPr>
        <w:rPr>
          <w:rFonts w:cs="Arial"/>
          <w:szCs w:val="20"/>
        </w:rPr>
      </w:pPr>
      <w:r>
        <w:t xml:space="preserve">ECC Report </w:t>
      </w:r>
      <w:r>
        <w:rPr>
          <w:highlight w:val="yellow"/>
        </w:rPr>
        <w:t>XYZ [currently being developed by FM48</w:t>
      </w:r>
      <w:r>
        <w:t>]</w:t>
      </w:r>
    </w:p>
    <w:p w:rsidR="00E41E35" w:rsidRDefault="00E41E35" w:rsidP="000F6780">
      <w:pPr>
        <w:pStyle w:val="reference"/>
        <w:numPr>
          <w:ilvl w:val="0"/>
          <w:numId w:val="24"/>
        </w:numPr>
        <w:rPr>
          <w:rFonts w:cs="Arial"/>
          <w:szCs w:val="20"/>
        </w:rPr>
      </w:pPr>
      <w:r>
        <w:rPr>
          <w:rFonts w:cs="Arial"/>
          <w:szCs w:val="20"/>
        </w:rPr>
        <w:t xml:space="preserve">CEPT Report 18: </w:t>
      </w:r>
      <w:r>
        <w:t>In response to the Mandate on EU</w:t>
      </w:r>
      <w:r>
        <w:rPr>
          <w:lang w:val="en-GB"/>
        </w:rPr>
        <w:t xml:space="preserve"> harmonisation</w:t>
      </w:r>
      <w:r>
        <w:t xml:space="preserve"> of the band 1452-1479.5 MHz (lower part of L-band) to allow flexible use by mobile multimedia technologies</w:t>
      </w:r>
    </w:p>
    <w:p w:rsidR="00E41E35" w:rsidRDefault="00E41E35" w:rsidP="000F6780">
      <w:pPr>
        <w:pStyle w:val="reference"/>
        <w:numPr>
          <w:ilvl w:val="0"/>
          <w:numId w:val="24"/>
        </w:numPr>
      </w:pPr>
      <w:r>
        <w:t>ECC/DEC/(03)02: The designation of the frequency band 1479.5-1492MHz for use by Satellite Digital Audio Broadcasting systems</w:t>
      </w:r>
    </w:p>
    <w:p w:rsidR="00E41E35" w:rsidRDefault="00E41E35" w:rsidP="000F6780">
      <w:pPr>
        <w:pStyle w:val="reference"/>
        <w:numPr>
          <w:ilvl w:val="0"/>
          <w:numId w:val="24"/>
        </w:numPr>
      </w:pPr>
      <w:r>
        <w:t xml:space="preserve">ECC Report 121: </w:t>
      </w:r>
      <w:r>
        <w:rPr>
          <w:color w:val="000000"/>
        </w:rPr>
        <w:t>Compatibility studies between Professional Wireless Microphone Systems (PWMS) and other services/systems in the L band</w:t>
      </w:r>
    </w:p>
    <w:p w:rsidR="00E41E35" w:rsidRDefault="00E41E35" w:rsidP="000F6780">
      <w:pPr>
        <w:pStyle w:val="reference"/>
        <w:numPr>
          <w:ilvl w:val="0"/>
          <w:numId w:val="24"/>
        </w:numPr>
      </w:pPr>
      <w:r>
        <w:t>CEPT Report 32: "Technical considerations regarding</w:t>
      </w:r>
      <w:r>
        <w:rPr>
          <w:lang w:val="en-GB"/>
        </w:rPr>
        <w:t xml:space="preserve"> harmonisation</w:t>
      </w:r>
      <w:r>
        <w:t xml:space="preserve"> options for the digital dividend in the European Union"</w:t>
      </w:r>
    </w:p>
    <w:p w:rsidR="00E41E35" w:rsidRDefault="00E41E35" w:rsidP="000F6780">
      <w:pPr>
        <w:pStyle w:val="reference"/>
        <w:numPr>
          <w:ilvl w:val="0"/>
          <w:numId w:val="24"/>
        </w:numPr>
      </w:pPr>
      <w:r>
        <w:t>Directive 2009/140/EC [</w:t>
      </w:r>
      <w:r>
        <w:rPr>
          <w:shd w:val="clear" w:color="auto" w:fill="FFFF00"/>
        </w:rPr>
        <w:t>Note:</w:t>
      </w:r>
      <w:r>
        <w:rPr>
          <w:highlight w:val="yellow"/>
        </w:rPr>
        <w:t xml:space="preserve"> How much of the title do you need see below</w:t>
      </w:r>
      <w:r>
        <w:rPr>
          <w:shd w:val="clear" w:color="auto" w:fill="FFFF00"/>
        </w:rPr>
        <w:t>?</w:t>
      </w:r>
      <w:r>
        <w:t>]</w:t>
      </w:r>
    </w:p>
    <w:p w:rsidR="00E41E35" w:rsidRDefault="00E41E35" w:rsidP="000F6780">
      <w:pPr>
        <w:pStyle w:val="reference"/>
        <w:numPr>
          <w:ilvl w:val="0"/>
          <w:numId w:val="24"/>
        </w:numPr>
      </w:pPr>
    </w:p>
    <w:p w:rsidR="00E41E35" w:rsidRDefault="00E41E35" w:rsidP="00E41E35">
      <w:pPr>
        <w:pStyle w:val="ECCParagraph"/>
        <w:rPr>
          <w:rFonts w:cs="Arial"/>
          <w:szCs w:val="20"/>
        </w:rPr>
      </w:pPr>
      <w:r>
        <w:t>According to the Directive 2009/140/EC “flexibility in spectrum management and access to spectrum should be increased through technology and service neutral authorisations to allow spectrum users to choose the best technologies and services to apply in frequency bands declared available for electronic communications services in the relevant national frequency allocation plans in accordance with Community law (the ‘principles of technology and service neutrality’). The administrative determination of technologies and services should apply when general interest objectives are at stake and should be clearly justified and subject to regular periodic review.”</w:t>
      </w:r>
    </w:p>
    <w:p w:rsidR="00E41E35" w:rsidRDefault="00E41E35" w:rsidP="00E41E35">
      <w:pPr>
        <w:pStyle w:val="ECCParagraph"/>
        <w:rPr>
          <w:rFonts w:cs="Arial"/>
          <w:szCs w:val="20"/>
        </w:rPr>
      </w:pPr>
    </w:p>
    <w:p w:rsidR="00E41E35" w:rsidRDefault="00E41E35" w:rsidP="00E41E35">
      <w:pPr>
        <w:pStyle w:val="ECCParagraph"/>
        <w:rPr>
          <w:lang w:val="fr-CH" w:eastAsia="de-DE"/>
        </w:rPr>
      </w:pPr>
      <w:r>
        <w:rPr>
          <w:lang w:val="fr-CH" w:eastAsia="de-DE"/>
        </w:rPr>
        <w:t>ETSI standard (TR 102 525, TS 102 550, TS 102 551-1, TS 102 551-2)</w:t>
      </w:r>
    </w:p>
    <w:p w:rsidR="00E41E35" w:rsidRDefault="00E41E35" w:rsidP="00E41E35">
      <w:pPr>
        <w:pStyle w:val="ECCParagraph"/>
        <w:rPr>
          <w:lang w:val="fr-CH"/>
        </w:rPr>
      </w:pPr>
      <w:r>
        <w:rPr>
          <w:lang w:val="fr-CH"/>
        </w:rPr>
        <w:t>ETSI TR 103 054</w:t>
      </w:r>
    </w:p>
    <w:p w:rsidR="00E41E35" w:rsidRDefault="00E41E35" w:rsidP="00E41E35">
      <w:pPr>
        <w:pStyle w:val="ECCParagraph"/>
      </w:pPr>
      <w:r>
        <w:t>In January 2007 the ETSI-System Reference Document TR 102 546 extended the existing "tuning ranges" for audio PMSE identified in EN 300 422</w:t>
      </w:r>
    </w:p>
    <w:p w:rsidR="00E41E35" w:rsidRDefault="00E41E35" w:rsidP="000F6780">
      <w:pPr>
        <w:pStyle w:val="ECCParBulleted"/>
        <w:numPr>
          <w:ilvl w:val="0"/>
          <w:numId w:val="25"/>
        </w:numPr>
        <w:spacing w:after="120"/>
      </w:pPr>
      <w:r>
        <w:t>ETSI - TR 102 525: Functionalities, architecture and technologies</w:t>
      </w:r>
    </w:p>
    <w:p w:rsidR="00E41E35" w:rsidRDefault="00E41E35" w:rsidP="000F6780">
      <w:pPr>
        <w:pStyle w:val="ECCParBulleted"/>
        <w:numPr>
          <w:ilvl w:val="0"/>
          <w:numId w:val="25"/>
        </w:numPr>
        <w:spacing w:after="120"/>
      </w:pPr>
      <w:r>
        <w:t>ETSI - TS 102 550: Outer Physical Layer of the Radio Interface</w:t>
      </w:r>
    </w:p>
    <w:p w:rsidR="00E41E35" w:rsidRDefault="00E41E35" w:rsidP="000F6780">
      <w:pPr>
        <w:pStyle w:val="ECCParBulleted"/>
        <w:numPr>
          <w:ilvl w:val="0"/>
          <w:numId w:val="25"/>
        </w:numPr>
      </w:pPr>
      <w:r>
        <w:t>ETSI - TS 102 551: Inner Physical Layer of the Radio Interface</w:t>
      </w:r>
    </w:p>
    <w:p w:rsidR="00E41E35" w:rsidRDefault="00E41E35" w:rsidP="00E41E35">
      <w:pPr>
        <w:pStyle w:val="ECCParagraph"/>
      </w:pPr>
      <w:r>
        <w:t>The required product standard was established in 2007 (ETSI-EN 300 422).</w:t>
      </w:r>
    </w:p>
    <w:p w:rsidR="00E41E35" w:rsidRDefault="00E41E35" w:rsidP="00E41E35">
      <w:pPr>
        <w:pStyle w:val="ECCParagraph"/>
        <w:rPr>
          <w:rFonts w:cs="Arial"/>
          <w:szCs w:val="20"/>
        </w:rPr>
      </w:pPr>
      <w:r>
        <w:rPr>
          <w:rFonts w:cs="Arial"/>
          <w:szCs w:val="20"/>
        </w:rPr>
        <w:t>ETSI standards (TS 102 584, TS 102 585 and EN 302 583)</w:t>
      </w:r>
    </w:p>
    <w:p w:rsidR="008A54FC" w:rsidRPr="000A672F" w:rsidRDefault="008A54FC" w:rsidP="008A54FC">
      <w:pPr>
        <w:pStyle w:val="ECCParagraph"/>
      </w:pPr>
    </w:p>
    <w:sectPr w:rsidR="008A54FC" w:rsidRPr="000A672F" w:rsidSect="008A54FC">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3A71" w:rsidRDefault="00A23A71" w:rsidP="008A54FC">
      <w:r>
        <w:separator/>
      </w:r>
    </w:p>
  </w:endnote>
  <w:endnote w:type="continuationSeparator" w:id="0">
    <w:p w:rsidR="00A23A71" w:rsidRDefault="00A23A71" w:rsidP="008A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Bold">
    <w:charset w:val="59"/>
    <w:family w:val="auto"/>
    <w:pitch w:val="variable"/>
    <w:sig w:usb0="00000201" w:usb1="00000000" w:usb2="00000000" w:usb3="00000000" w:csb0="00000004" w:csb1="00000000"/>
  </w:font>
  <w:font w:name="Arial">
    <w:panose1 w:val="020B0604020202020204"/>
    <w:charset w:val="00"/>
    <w:family w:val="swiss"/>
    <w:pitch w:val="variable"/>
    <w:sig w:usb0="20002A87" w:usb1="00000000" w:usb2="00000000" w:usb3="00000000" w:csb0="000001FF" w:csb1="00000000"/>
  </w:font>
  <w:font w:name="Lucida Grande">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enQuanYi Micro Hei">
    <w:altName w:val="Arial Unicode MS"/>
    <w:charset w:val="80"/>
    <w:family w:val="auto"/>
    <w:pitch w:val="variable"/>
  </w:font>
  <w:font w:name="Lohit Hindi">
    <w:altName w:val="Arial Unicode MS"/>
    <w:charset w:val="80"/>
    <w:family w:val="auto"/>
    <w:pitch w:val="variable"/>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Default="00E41E35">
    <w:pPr>
      <w:pStyle w:val="Pieddepage"/>
      <w:rPr>
        <w:szCs w:val="20"/>
        <w:lang w:val="fr-F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3A71" w:rsidRDefault="00A23A71" w:rsidP="008A54FC">
      <w:r>
        <w:separator/>
      </w:r>
    </w:p>
  </w:footnote>
  <w:footnote w:type="continuationSeparator" w:id="0">
    <w:p w:rsidR="00A23A71" w:rsidRDefault="00A23A71" w:rsidP="008A54FC">
      <w:r>
        <w:continuationSeparator/>
      </w:r>
    </w:p>
  </w:footnote>
  <w:footnote w:id="1">
    <w:p w:rsidR="00E41E35" w:rsidRDefault="00E41E35" w:rsidP="00026A63">
      <w:pPr>
        <w:pStyle w:val="ECCFootnote"/>
      </w:pPr>
      <w:r w:rsidRPr="003F3BD5">
        <w:rPr>
          <w:rStyle w:val="Appelnotedebasdep"/>
          <w:rFonts w:cs="Arial"/>
          <w:sz w:val="20"/>
          <w:szCs w:val="20"/>
        </w:rPr>
        <w:footnoteRef/>
      </w:r>
      <w:r w:rsidRPr="003F3BD5">
        <w:t xml:space="preserve"> http://rspg.groups.eu.int/consultations/consultation_futradio/rspg10_349_annex.pdf</w:t>
      </w:r>
    </w:p>
  </w:footnote>
  <w:footnote w:id="2">
    <w:p w:rsidR="00E41E35" w:rsidRDefault="00E41E35" w:rsidP="00026A63">
      <w:pPr>
        <w:pStyle w:val="ECCFootnote"/>
      </w:pPr>
      <w:r>
        <w:rPr>
          <w:rStyle w:val="Appelnotedebasdep"/>
        </w:rPr>
        <w:footnoteRef/>
      </w:r>
      <w:r>
        <w:t xml:space="preserve"> See FM(11)038 Rev2.</w:t>
      </w:r>
    </w:p>
  </w:footnote>
  <w:footnote w:id="3">
    <w:p w:rsidR="00E41E35" w:rsidRDefault="00E41E35" w:rsidP="006D1BB1">
      <w:pPr>
        <w:pStyle w:val="ECCFootnote"/>
      </w:pPr>
      <w:r>
        <w:rPr>
          <w:rStyle w:val="Appelnotedebasdep"/>
        </w:rPr>
        <w:footnoteRef/>
      </w:r>
      <w:r>
        <w:t xml:space="preserve"> See for example: www.obs.coe.int/about/oea/pr/mavise_juin2011.html</w:t>
      </w:r>
    </w:p>
  </w:footnote>
  <w:footnote w:id="4">
    <w:p w:rsidR="00E41E35" w:rsidRDefault="00E41E35" w:rsidP="006D1BB1">
      <w:pPr>
        <w:pStyle w:val="ECCFootnote"/>
      </w:pPr>
      <w:r>
        <w:rPr>
          <w:rStyle w:val="Appelnotedebasdep"/>
        </w:rPr>
        <w:footnoteRef/>
      </w:r>
      <w:r>
        <w:t xml:space="preserve"> See R</w:t>
      </w:r>
      <w:r>
        <w:rPr>
          <w:lang w:val="sv-SE"/>
        </w:rPr>
        <w:t>eport ITU-R M.2243</w:t>
      </w:r>
    </w:p>
  </w:footnote>
  <w:footnote w:id="5">
    <w:p w:rsidR="00E41E35" w:rsidRDefault="00E41E35" w:rsidP="006D1BB1">
      <w:pPr>
        <w:pStyle w:val="Notedebasdepage"/>
        <w:rPr>
          <w:sz w:val="16"/>
          <w:szCs w:val="16"/>
        </w:rPr>
      </w:pPr>
      <w:r>
        <w:rPr>
          <w:rStyle w:val="Appelnotedebasdep"/>
          <w:sz w:val="16"/>
          <w:szCs w:val="16"/>
        </w:rPr>
        <w:footnoteRef/>
      </w:r>
      <w:r>
        <w:rPr>
          <w:sz w:val="16"/>
          <w:szCs w:val="16"/>
        </w:rPr>
        <w:t xml:space="preserve"> See Document RSCom 12-06.</w:t>
      </w:r>
    </w:p>
  </w:footnote>
  <w:footnote w:id="6">
    <w:p w:rsidR="00E41E35" w:rsidRDefault="00E41E35" w:rsidP="006D1BB1">
      <w:pPr>
        <w:pStyle w:val="Notedebasdepage"/>
        <w:rPr>
          <w:lang w:val="en-GB"/>
        </w:rPr>
      </w:pPr>
      <w:r>
        <w:rPr>
          <w:rStyle w:val="Appelnotedebasdep"/>
        </w:rPr>
        <w:footnoteRef/>
      </w:r>
      <w:r>
        <w:t xml:space="preserve"> </w:t>
      </w:r>
      <w:r>
        <w:rPr>
          <w:lang w:val="en-GB"/>
        </w:rPr>
        <w:t>See document FM50(11)019.</w:t>
      </w:r>
    </w:p>
  </w:footnote>
  <w:footnote w:id="7">
    <w:p w:rsidR="00E41E35" w:rsidRDefault="00E41E35" w:rsidP="006D1BB1">
      <w:pPr>
        <w:pStyle w:val="ECCFootnote"/>
      </w:pPr>
      <w:r>
        <w:rPr>
          <w:rStyle w:val="Appelnotedebasdep"/>
        </w:rPr>
        <w:footnoteRef/>
      </w:r>
      <w:r>
        <w:t xml:space="preserve"> </w:t>
      </w:r>
      <w:r>
        <w:rPr>
          <w:i/>
          <w:lang w:val="en-GB"/>
        </w:rPr>
        <w:t>Programme</w:t>
      </w:r>
      <w:r>
        <w:rPr>
          <w:i/>
        </w:rPr>
        <w:t xml:space="preserve"> Making</w:t>
      </w:r>
      <w:r>
        <w:t xml:space="preserve"> includes the making of a </w:t>
      </w:r>
      <w:r>
        <w:rPr>
          <w:lang w:val="en-GB"/>
        </w:rPr>
        <w:t>programme</w:t>
      </w:r>
      <w:r>
        <w:t xml:space="preserve"> for broadcast, the making of a film, presentation, advertisement or audio or video recordings, and the staging or performance of an entertainment, sporting or other public event.</w:t>
      </w:r>
    </w:p>
  </w:footnote>
  <w:footnote w:id="8">
    <w:p w:rsidR="00E41E35" w:rsidRDefault="00E41E35" w:rsidP="006D1BB1">
      <w:pPr>
        <w:pStyle w:val="ECCFootnote"/>
      </w:pPr>
      <w:r>
        <w:rPr>
          <w:rStyle w:val="Appelnotedebasdep"/>
        </w:rPr>
        <w:footnoteRef/>
      </w:r>
      <w:r>
        <w:t xml:space="preserve"> A </w:t>
      </w:r>
      <w:r>
        <w:rPr>
          <w:i/>
        </w:rPr>
        <w:t>Special Event</w:t>
      </w:r>
      <w:r>
        <w:t xml:space="preserve"> is an occurrence of limited duration, typically between one day and a few weeks, which take place on specifically defined locations. Examples include large cultural, sport, entertainment, religious and other festivals, conferences and trade fairs. In the entertainment industry, theatrical productions may run for considerably longer.</w:t>
      </w:r>
    </w:p>
  </w:footnote>
  <w:footnote w:id="9">
    <w:p w:rsidR="00E41E35" w:rsidRDefault="00E41E35" w:rsidP="006D1BB1">
      <w:pPr>
        <w:pStyle w:val="ECCFootnote"/>
      </w:pPr>
      <w:r>
        <w:rPr>
          <w:rStyle w:val="Appelnotedebasdep"/>
        </w:rPr>
        <w:footnoteRef/>
      </w:r>
      <w:r>
        <w:t xml:space="preserve"> For further information see the ECC Report 002</w:t>
      </w:r>
    </w:p>
  </w:footnote>
  <w:footnote w:id="10">
    <w:p w:rsidR="00E41E35" w:rsidRDefault="00E41E35" w:rsidP="006D1BB1">
      <w:pPr>
        <w:pStyle w:val="ECCFootnote"/>
      </w:pPr>
      <w:r>
        <w:rPr>
          <w:rStyle w:val="Appelnotedebasdep"/>
        </w:rPr>
        <w:footnoteRef/>
      </w:r>
      <w:r>
        <w:t xml:space="preserve"> For further information see the EN 300 422</w:t>
      </w:r>
    </w:p>
  </w:footnote>
  <w:footnote w:id="11">
    <w:p w:rsidR="00E41E35" w:rsidRDefault="00E41E35" w:rsidP="006D1BB1">
      <w:pPr>
        <w:pStyle w:val="Notedebasdepage"/>
      </w:pPr>
      <w:r>
        <w:rPr>
          <w:sz w:val="16"/>
          <w:szCs w:val="24"/>
        </w:rPr>
        <w:footnoteRef/>
      </w:r>
      <w:r>
        <w:rPr>
          <w:sz w:val="16"/>
          <w:szCs w:val="24"/>
        </w:rPr>
        <w:t xml:space="preserve"> See: ECC’s Strategic Plan, section 3.1:</w:t>
      </w:r>
      <w:r>
        <w:t xml:space="preserve"> </w:t>
      </w:r>
      <w:hyperlink r:id="rId1" w:history="1">
        <w:r>
          <w:rPr>
            <w:rStyle w:val="Lienhypertexte"/>
            <w:sz w:val="14"/>
            <w:szCs w:val="14"/>
          </w:rPr>
          <w:t>http://www.cept.org//files/1051/ECC/About%20ECC/ECC%20Strategic%20plan/ECC%20Strategic%20Plan%20rev%204.pdf</w:t>
        </w:r>
      </w:hyperlink>
    </w:p>
  </w:footnote>
  <w:footnote w:id="12">
    <w:p w:rsidR="00E41E35" w:rsidRDefault="00E41E35" w:rsidP="006D1BB1">
      <w:pPr>
        <w:pStyle w:val="Notedebasdepage"/>
        <w:rPr>
          <w:sz w:val="16"/>
          <w:szCs w:val="16"/>
        </w:rPr>
      </w:pPr>
      <w:r>
        <w:rPr>
          <w:rStyle w:val="Appelnotedebasdep"/>
          <w:sz w:val="16"/>
          <w:szCs w:val="16"/>
        </w:rPr>
        <w:footnoteRef/>
      </w:r>
      <w:r>
        <w:rPr>
          <w:sz w:val="16"/>
          <w:szCs w:val="16"/>
        </w:rPr>
        <w:t xml:space="preserve"> New audio formats require higher resolution, not compressed, from the microphones for storing the signals in highest resolution in order to be able to convert it according to the market needs. The current standard formats (mono or stereo) no longer fulfil the expectations of the listeners. Formats like 5.1 or 7.1 are common for today’s productions. They need more equipment at the production frontend and more RF spectrum to transmit the increasing amount of signals. Audio 5.1 and 7.1 are intermediate steps to a real spatial sound experience for the people at home. The next step on the audio side is as format which offers a much more authentic 3D Audio experience.</w:t>
      </w:r>
    </w:p>
  </w:footnote>
  <w:footnote w:id="13">
    <w:p w:rsidR="00E41E35" w:rsidRDefault="00E41E35" w:rsidP="006D1BB1">
      <w:pPr>
        <w:pStyle w:val="Notedebasdepage"/>
      </w:pPr>
      <w:r>
        <w:rPr>
          <w:rStyle w:val="Appelnotedebasdep"/>
          <w:highlight w:val="yellow"/>
        </w:rPr>
        <w:footnoteRef/>
      </w:r>
      <w:r>
        <w:rPr>
          <w:highlight w:val="yellow"/>
        </w:rPr>
        <w:t xml:space="preserve"> Reference to the study by German ministry</w:t>
      </w:r>
      <w:r>
        <w:t xml:space="preserve"> to be included </w:t>
      </w:r>
    </w:p>
  </w:footnote>
  <w:footnote w:id="14">
    <w:p w:rsidR="00E41E35" w:rsidRDefault="00E41E35" w:rsidP="006D1BB1">
      <w:pPr>
        <w:pStyle w:val="ECCFootnote"/>
      </w:pPr>
      <w:r>
        <w:rPr>
          <w:rStyle w:val="Appelnotedebasdep"/>
        </w:rPr>
        <w:footnoteRef/>
      </w:r>
      <w:r>
        <w:t xml:space="preserve"> </w:t>
      </w:r>
      <w:r>
        <w:tab/>
        <w:t>“ECC has received several request for addressing requirement for Public Safety and Security (PSS) wireless communication systems (e.g. from ETSI and from PSCE Forum). The safety and security community needs access to wideband and broadband services such as video and has specific requirements in terms of priority, availability or security. Spectrum harmonization of PSS wireless communication systems will require a long term effort from ECC and relevant CEPT Administrations at national level, but ECC has to face this challenge of facilitating public safety and security operations in Europe.</w:t>
      </w:r>
    </w:p>
    <w:p w:rsidR="00E41E35" w:rsidRDefault="00E41E35" w:rsidP="006D1BB1">
      <w:pPr>
        <w:pStyle w:val="ECCFootnote"/>
      </w:pPr>
      <w:r>
        <w:tab/>
        <w:t>CEPT ECC shall consider future requirements for access to spectrum for PPDR, the need for harmonization of use and shall identify resources accordingly.”</w:t>
      </w:r>
    </w:p>
  </w:footnote>
  <w:footnote w:id="15">
    <w:p w:rsidR="00E41E35" w:rsidRDefault="00E41E35" w:rsidP="006D1BB1">
      <w:pPr>
        <w:pStyle w:val="ECCFootnote"/>
      </w:pPr>
      <w:r>
        <w:rPr>
          <w:rStyle w:val="Appelnotedebasdep"/>
        </w:rPr>
        <w:footnoteRef/>
      </w:r>
      <w:r>
        <w:t xml:space="preserve"> </w:t>
      </w:r>
      <w:r>
        <w:tab/>
        <w:t xml:space="preserve">See: ECC’s Strategic Plan, section 3.3: </w:t>
      </w:r>
      <w:hyperlink r:id="rId2" w:history="1">
        <w:r>
          <w:rPr>
            <w:rStyle w:val="Lienhypertexte"/>
            <w:sz w:val="14"/>
            <w:szCs w:val="14"/>
          </w:rPr>
          <w:t>http://www.cept.org//files/1051/ECC/About%20ECC/ECC%20Strategic%20plan/ECC%20Strategic%20Plan%20rev%204.pdf</w:t>
        </w:r>
      </w:hyperlink>
    </w:p>
  </w:footnote>
  <w:footnote w:id="16">
    <w:p w:rsidR="00E41E35" w:rsidRDefault="00E41E35" w:rsidP="006D1BB1">
      <w:pPr>
        <w:pStyle w:val="ECCFootnote"/>
      </w:pPr>
      <w:r>
        <w:rPr>
          <w:rStyle w:val="Appelnotedebasdep"/>
        </w:rPr>
        <w:footnoteRef/>
      </w:r>
      <w:r>
        <w:rPr>
          <w:rStyle w:val="Appelnotedebasdep"/>
        </w:rPr>
        <w:t xml:space="preserve"> </w:t>
      </w:r>
      <w:r>
        <w:t xml:space="preserve">A press release on trial flight: </w:t>
      </w:r>
      <w:hyperlink r:id="rId3" w:history="1">
        <w:r>
          <w:rPr>
            <w:rStyle w:val="Lienhypertexte"/>
          </w:rPr>
          <w:t>http://www.telekom.com/media/company/107626</w:t>
        </w:r>
      </w:hyperlink>
      <w:r>
        <w:t xml:space="preserve"> </w:t>
      </w:r>
    </w:p>
  </w:footnote>
  <w:footnote w:id="17">
    <w:p w:rsidR="00E41E35" w:rsidRDefault="00E41E35" w:rsidP="006D1BB1">
      <w:pPr>
        <w:pStyle w:val="ECCFootnote"/>
        <w:rPr>
          <w:szCs w:val="16"/>
        </w:rPr>
      </w:pPr>
      <w:r>
        <w:rPr>
          <w:rStyle w:val="Appelnotedebasdep"/>
          <w:szCs w:val="16"/>
        </w:rPr>
        <w:footnoteRef/>
      </w:r>
      <w:r>
        <w:rPr>
          <w:szCs w:val="16"/>
        </w:rPr>
        <w:t xml:space="preserve"> </w:t>
      </w:r>
      <w:r>
        <w:rPr>
          <w:rFonts w:eastAsia="MS Mincho"/>
          <w:color w:val="0000FF"/>
          <w:szCs w:val="16"/>
          <w:lang w:eastAsia="ja-JP"/>
        </w:rPr>
        <w:t>http://www.eurocontrol.int/statfor/public/subsite_homepage/homepage.html</w:t>
      </w:r>
    </w:p>
  </w:footnote>
  <w:footnote w:id="18">
    <w:p w:rsidR="00E41E35" w:rsidRDefault="00E41E35" w:rsidP="006D1BB1">
      <w:pPr>
        <w:pStyle w:val="ECCFootnote"/>
      </w:pPr>
      <w:r>
        <w:rPr>
          <w:rStyle w:val="Appelnotedebasdep"/>
        </w:rPr>
        <w:footnoteRef/>
      </w:r>
      <w:r>
        <w:rPr>
          <w:rStyle w:val="Appelnotedebasdep"/>
        </w:rPr>
        <w:t xml:space="preserve"> </w:t>
      </w:r>
      <w:r>
        <w:t xml:space="preserve">See document FM50(12)017_Air_passenger_survey_results at </w:t>
      </w:r>
      <w:hyperlink r:id="rId4" w:history="1">
        <w:r>
          <w:rPr>
            <w:rStyle w:val="Lienhypertexte"/>
          </w:rPr>
          <w:t>http://www.cept.org/ecc/groups/ecc/wg-fm/fm-</w:t>
        </w:r>
        <w:r>
          <w:br/>
        </w:r>
        <w:r>
          <w:rPr>
            <w:rStyle w:val="Lienhypertexte"/>
          </w:rPr>
          <w:t>50/client/meeting-documents</w:t>
        </w:r>
      </w:hyperlink>
      <w:r>
        <w:t xml:space="preserve">; 2012; M5 – 6-9 March; Input documents </w:t>
      </w:r>
    </w:p>
  </w:footnote>
  <w:footnote w:id="19">
    <w:p w:rsidR="00E41E35" w:rsidRDefault="00E41E35" w:rsidP="006D1BB1">
      <w:pPr>
        <w:pStyle w:val="ECCFootnote"/>
      </w:pPr>
      <w:r>
        <w:rPr>
          <w:rStyle w:val="Appelnotedebasdep"/>
        </w:rPr>
        <w:footnoteRef/>
      </w:r>
      <w:r>
        <w:t xml:space="preserve"> See Minutes of the 73rd WG FM Meeting, FM(11)202_Minutes of 73WGFM_Lille_2011: The amount of spectrum for this radio application is considered independent from the number of system proposals.</w:t>
      </w:r>
    </w:p>
  </w:footnote>
  <w:footnote w:id="20">
    <w:p w:rsidR="00E41E35" w:rsidRDefault="00E41E35" w:rsidP="00E41E35">
      <w:pPr>
        <w:pStyle w:val="Notedebasdepage"/>
      </w:pPr>
      <w:r>
        <w:rPr>
          <w:rStyle w:val="Appelnotedebasdep"/>
        </w:rPr>
        <w:footnoteRef/>
      </w:r>
      <w:r>
        <w:t xml:space="preserve"> The coexistence between high power broadcasting networks and low power ECNs has been studied in particular in the CEPT Report 23, 29 and 30 [</w:t>
      </w:r>
      <w:r>
        <w:rPr>
          <w:highlight w:val="yellow"/>
        </w:rPr>
        <w:t>ref</w:t>
      </w:r>
      <w:r>
        <w:t>]. The main conclusions are that:</w:t>
      </w:r>
    </w:p>
    <w:p w:rsidR="00E41E35" w:rsidRDefault="00E41E35" w:rsidP="000F6780">
      <w:pPr>
        <w:pStyle w:val="Notedebasdepage"/>
        <w:numPr>
          <w:ilvl w:val="0"/>
          <w:numId w:val="33"/>
        </w:numPr>
      </w:pPr>
      <w:r>
        <w:t xml:space="preserve">The most difficult coexistence scenario is between ECNs UL and low power applications on one hand and broadcast to fixed receivers on the other hand and </w:t>
      </w:r>
    </w:p>
    <w:p w:rsidR="00E41E35" w:rsidRDefault="00E41E35" w:rsidP="000F6780">
      <w:pPr>
        <w:pStyle w:val="Notedebasdepage"/>
        <w:numPr>
          <w:ilvl w:val="0"/>
          <w:numId w:val="33"/>
        </w:numPr>
      </w:pPr>
      <w:r>
        <w:t>Coexistence between low power ECNs DL and high power broadcast networks is mainly governed by the reception mode of the broadcast transmission (see CEPT Report 23 [</w:t>
      </w:r>
      <w:r>
        <w:rPr>
          <w:highlight w:val="yellow"/>
        </w:rPr>
        <w:t>ref</w:t>
      </w:r>
      <w:r>
        <w:t>]).</w:t>
      </w:r>
    </w:p>
  </w:footnote>
  <w:footnote w:id="21">
    <w:p w:rsidR="00E41E35" w:rsidRDefault="00E41E35" w:rsidP="00E41E35">
      <w:pPr>
        <w:pStyle w:val="ECCFootnote"/>
      </w:pPr>
      <w:r>
        <w:rPr>
          <w:rStyle w:val="Appelnotedebasdep"/>
        </w:rPr>
        <w:footnoteRef/>
      </w:r>
      <w:r>
        <w:t xml:space="preserve"> ECC Report 161: “Additional Considerations relating to the L-band and the MA02revCO07” </w:t>
      </w:r>
    </w:p>
    <w:p w:rsidR="00E41E35" w:rsidRDefault="00E41E35" w:rsidP="00E41E35">
      <w:pPr>
        <w:pStyle w:val="ECCFootnote"/>
      </w:pPr>
    </w:p>
  </w:footnote>
  <w:footnote w:id="22">
    <w:p w:rsidR="00E41E35" w:rsidRDefault="00E41E35" w:rsidP="00E41E35">
      <w:pPr>
        <w:pStyle w:val="ECCFootnote"/>
      </w:pPr>
      <w:r>
        <w:rPr>
          <w:rStyle w:val="Appelnotedebasdep"/>
        </w:rPr>
        <w:footnoteRef/>
      </w:r>
      <w:r>
        <w:t xml:space="preserve"> ECC Report 121: “Compatibility studies between professional wireless microphone systems (PWMS) and other services/systems in the bands 1452-1492 MHz, 1492-1530 MHz, 1533-1559 MHz also considering the services/systems in the adjacent bands (below 1452 MHz and above 1559 MHz)”</w:t>
      </w:r>
    </w:p>
    <w:p w:rsidR="00E41E35" w:rsidRDefault="00E41E35" w:rsidP="00E41E35">
      <w:pPr>
        <w:pStyle w:val="ECCFootnote"/>
      </w:pPr>
    </w:p>
  </w:footnote>
  <w:footnote w:id="23">
    <w:p w:rsidR="00E41E35" w:rsidRDefault="00E41E35" w:rsidP="00E41E35">
      <w:pPr>
        <w:pStyle w:val="Notedebasdepage"/>
      </w:pPr>
      <w:r>
        <w:rPr>
          <w:rStyle w:val="Appelnotedebasdep"/>
        </w:rPr>
        <w:footnoteRef/>
      </w:r>
      <w:r>
        <w:t xml:space="preserve"> It is understood that the S-DAB satellite is operated or commercialised by an entity established in a CEPT country. </w:t>
      </w:r>
    </w:p>
  </w:footnote>
  <w:footnote w:id="24">
    <w:p w:rsidR="00E41E35" w:rsidRDefault="00E41E35" w:rsidP="00413A48">
      <w:pPr>
        <w:pStyle w:val="ECCFootnote"/>
      </w:pPr>
      <w:r w:rsidRPr="004F2D3D">
        <w:rPr>
          <w:rStyle w:val="Appelnotedebasdep"/>
          <w:rFonts w:cs="Arial"/>
          <w:sz w:val="20"/>
          <w:szCs w:val="20"/>
        </w:rPr>
        <w:t>*</w:t>
      </w:r>
      <w:r>
        <w:t xml:space="preserve"> </w:t>
      </w:r>
      <w:r w:rsidRPr="004F2D3D">
        <w:t xml:space="preserve">This provision was previously numbered as No. </w:t>
      </w:r>
      <w:r w:rsidRPr="004F2D3D">
        <w:rPr>
          <w:b/>
          <w:bCs/>
        </w:rPr>
        <w:t>5.347A</w:t>
      </w:r>
      <w:r w:rsidRPr="004F2D3D">
        <w:t>. It was renumbered to preserve the sequential order.</w:t>
      </w:r>
    </w:p>
  </w:footnote>
  <w:footnote w:id="25">
    <w:p w:rsidR="00E41E35" w:rsidRDefault="00E41E35" w:rsidP="00413A48">
      <w:pPr>
        <w:pStyle w:val="ECCFootnote"/>
      </w:pPr>
      <w:r>
        <w:rPr>
          <w:rStyle w:val="Appelnotedebasdep"/>
          <w:color w:val="000000"/>
          <w:lang w:val="en-AU"/>
        </w:rPr>
        <w:t>*</w:t>
      </w:r>
      <w:r>
        <w:rPr>
          <w:color w:val="000000"/>
          <w:lang w:val="en-AU"/>
        </w:rPr>
        <w:t xml:space="preserve"> </w:t>
      </w:r>
      <w:r>
        <w:rPr>
          <w:i/>
          <w:iCs/>
          <w:color w:val="000000"/>
          <w:lang w:val="en-AU"/>
        </w:rPr>
        <w:t>Note by the Secretariat:</w:t>
      </w:r>
      <w:r>
        <w:rPr>
          <w:color w:val="000000"/>
          <w:lang w:val="en-AU"/>
        </w:rPr>
        <w:t>  This Resolution was revised by WRC-03.</w:t>
      </w:r>
    </w:p>
  </w:footnote>
  <w:footnote w:id="26">
    <w:p w:rsidR="00E41E35" w:rsidRDefault="00E41E35" w:rsidP="00596D5D">
      <w:pPr>
        <w:pStyle w:val="ECCFootnote"/>
      </w:pPr>
      <w:r>
        <w:rPr>
          <w:rStyle w:val="Appelnotedebasdep"/>
        </w:rPr>
        <w:footnoteRef/>
      </w:r>
      <w:r>
        <w:t xml:space="preserve"> </w:t>
      </w:r>
      <w:r w:rsidRPr="00DD627B">
        <w:t>Part 1 contains T-DAB allotments transferred from the original WI95 Plan in the 1.5</w:t>
      </w:r>
      <w:r>
        <w:t xml:space="preserve"> GHz band.</w:t>
      </w:r>
    </w:p>
  </w:footnote>
  <w:footnote w:id="27">
    <w:p w:rsidR="00E41E35" w:rsidRDefault="00E41E35" w:rsidP="00596D5D">
      <w:pPr>
        <w:pStyle w:val="ECCFootnote"/>
      </w:pPr>
      <w:r>
        <w:rPr>
          <w:rStyle w:val="Appelnotedebasdep"/>
        </w:rPr>
        <w:footnoteRef/>
      </w:r>
      <w:r>
        <w:t xml:space="preserve"> P</w:t>
      </w:r>
      <w:r w:rsidRPr="00DD627B">
        <w:t xml:space="preserve">art 2 contains the allotments originating </w:t>
      </w:r>
      <w:r>
        <w:t>at the MA02 planning conference.</w:t>
      </w:r>
    </w:p>
  </w:footnote>
  <w:footnote w:id="28">
    <w:p w:rsidR="00E41E35" w:rsidRDefault="00E41E35" w:rsidP="00596D5D">
      <w:pPr>
        <w:pStyle w:val="ECCFootnote"/>
      </w:pPr>
      <w:r>
        <w:rPr>
          <w:rStyle w:val="Appelnotedebasdep"/>
        </w:rPr>
        <w:footnoteRef/>
      </w:r>
      <w:r>
        <w:t xml:space="preserve"> </w:t>
      </w:r>
      <w:r w:rsidRPr="0067031C">
        <w:t xml:space="preserve">Part2sup contains the allotments for which the coordination was completed after the publication of </w:t>
      </w:r>
      <w:r w:rsidRPr="000A424B">
        <w:rPr>
          <w:rFonts w:cs="Arial"/>
          <w:szCs w:val="20"/>
        </w:rPr>
        <w:t>MA02revCO07</w:t>
      </w:r>
      <w:r w:rsidRPr="0067031C">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Pr="007C5F95" w:rsidRDefault="00E41E35">
    <w:pPr>
      <w:pStyle w:val="En-tte"/>
      <w:rPr>
        <w:b w:val="0"/>
        <w:lang w:val="da-DK"/>
      </w:rPr>
    </w:pPr>
    <w:r w:rsidRPr="007C5F95">
      <w:rPr>
        <w:b w:val="0"/>
        <w:lang w:val="da-DK"/>
      </w:rPr>
      <w:t>Draft ECC REPORT XXX</w:t>
    </w:r>
  </w:p>
  <w:p w:rsidR="00E41E35" w:rsidRPr="007C5F95" w:rsidRDefault="00E41E35">
    <w:pPr>
      <w:pStyle w:val="En-tte"/>
      <w:rPr>
        <w:szCs w:val="16"/>
        <w:lang w:val="da-DK"/>
      </w:rPr>
    </w:pPr>
    <w:r>
      <w:rPr>
        <w:szCs w:val="16"/>
        <w:lang w:val="da-DK"/>
      </w:rPr>
      <w:t xml:space="preserve">Page </w:t>
    </w:r>
    <w:r>
      <w:fldChar w:fldCharType="begin"/>
    </w:r>
    <w:r>
      <w:instrText xml:space="preserve"> PAGE  \* Arabic  \* MERGEFORMAT </w:instrText>
    </w:r>
    <w:r>
      <w:fldChar w:fldCharType="separate"/>
    </w:r>
    <w:r w:rsidR="00536549" w:rsidRPr="00536549">
      <w:rPr>
        <w:noProof/>
        <w:szCs w:val="16"/>
        <w:lang w:val="da-DK"/>
      </w:rPr>
      <w:t>2</w:t>
    </w:r>
    <w:r>
      <w:rPr>
        <w:noProof/>
        <w:szCs w:val="16"/>
        <w:lang w:val="da-DK"/>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Pr="007C5F95" w:rsidRDefault="00E41E35" w:rsidP="008A54FC">
    <w:pPr>
      <w:pStyle w:val="En-tte"/>
      <w:jc w:val="right"/>
      <w:rPr>
        <w:b w:val="0"/>
        <w:lang w:val="da-DK"/>
      </w:rPr>
    </w:pPr>
    <w:r w:rsidRPr="007C5F95">
      <w:rPr>
        <w:b w:val="0"/>
        <w:lang w:val="da-DK"/>
      </w:rPr>
      <w:t>Draft ECC REPORT XXX</w:t>
    </w:r>
  </w:p>
  <w:p w:rsidR="00E41E35" w:rsidRPr="007C5F95" w:rsidRDefault="00E41E35" w:rsidP="008A54FC">
    <w:pPr>
      <w:pStyle w:val="En-tte"/>
      <w:jc w:val="right"/>
      <w:rPr>
        <w:szCs w:val="16"/>
        <w:lang w:val="da-DK"/>
      </w:rPr>
    </w:pPr>
    <w:r>
      <w:rPr>
        <w:szCs w:val="16"/>
        <w:lang w:val="da-DK"/>
      </w:rPr>
      <w:t xml:space="preserve">Page </w:t>
    </w:r>
    <w:r>
      <w:fldChar w:fldCharType="begin"/>
    </w:r>
    <w:r>
      <w:instrText xml:space="preserve"> PAGE  \* Arabic  \* MERGEFORMAT </w:instrText>
    </w:r>
    <w:r>
      <w:fldChar w:fldCharType="separate"/>
    </w:r>
    <w:r w:rsidR="00536549" w:rsidRPr="00536549">
      <w:rPr>
        <w:noProof/>
        <w:szCs w:val="16"/>
        <w:lang w:val="da-DK"/>
      </w:rPr>
      <w:t>3</w:t>
    </w:r>
    <w:r>
      <w:rPr>
        <w:noProof/>
        <w:szCs w:val="16"/>
        <w:lang w:val="da-DK"/>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Default="00E41E35">
    <w:pPr>
      <w:pStyle w:val="En-tte"/>
    </w:pPr>
    <w:r>
      <w:rPr>
        <w:noProof/>
        <w:szCs w:val="20"/>
        <w:lang w:val="fr-FR" w:eastAsia="fr-FR"/>
      </w:rPr>
      <w:drawing>
        <wp:anchor distT="0" distB="0" distL="114300" distR="114300" simplePos="0" relativeHeight="251658240" behindDoc="0" locked="0" layoutInCell="1" allowOverlap="1" wp14:anchorId="627C6798" wp14:editId="599F1533">
          <wp:simplePos x="0" y="0"/>
          <wp:positionH relativeFrom="page">
            <wp:posOffset>5717540</wp:posOffset>
          </wp:positionH>
          <wp:positionV relativeFrom="page">
            <wp:posOffset>648335</wp:posOffset>
          </wp:positionV>
          <wp:extent cx="1461770" cy="546100"/>
          <wp:effectExtent l="25400" t="0" r="11430" b="0"/>
          <wp:wrapNone/>
          <wp:docPr id="2"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Pr>
        <w:noProof/>
        <w:szCs w:val="20"/>
        <w:lang w:val="fr-FR" w:eastAsia="fr-FR"/>
      </w:rPr>
      <w:drawing>
        <wp:anchor distT="0" distB="0" distL="114300" distR="114300" simplePos="0" relativeHeight="251657216" behindDoc="0" locked="0" layoutInCell="1" allowOverlap="1" wp14:anchorId="46FD1D58" wp14:editId="775B8E4F">
          <wp:simplePos x="0" y="0"/>
          <wp:positionH relativeFrom="page">
            <wp:posOffset>572770</wp:posOffset>
          </wp:positionH>
          <wp:positionV relativeFrom="page">
            <wp:posOffset>457200</wp:posOffset>
          </wp:positionV>
          <wp:extent cx="889000" cy="889000"/>
          <wp:effectExtent l="25400" t="0" r="0" b="0"/>
          <wp:wrapNone/>
          <wp:docPr id="1"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Pr="007C5F95" w:rsidRDefault="00E41E35">
    <w:pPr>
      <w:pStyle w:val="En-tte"/>
      <w:rPr>
        <w:szCs w:val="16"/>
        <w:lang w:val="da-DK"/>
      </w:rPr>
    </w:pPr>
    <w:r>
      <w:rPr>
        <w:lang w:val="da-DK"/>
      </w:rPr>
      <w:t>DRAFT ECC REPORT &lt;N</w:t>
    </w:r>
    <w:r w:rsidRPr="007C5F95">
      <w:rPr>
        <w:lang w:val="da-DK"/>
      </w:rPr>
      <w:t>o</w:t>
    </w:r>
    <w:r>
      <w:rPr>
        <w:lang w:val="da-DK"/>
      </w:rPr>
      <w:t xml:space="preserve">&gt;- </w:t>
    </w:r>
    <w:r w:rsidRPr="007C5F95">
      <w:rPr>
        <w:lang w:val="da-DK"/>
      </w:rPr>
      <w:t xml:space="preserve"> </w:t>
    </w:r>
    <w:r>
      <w:rPr>
        <w:szCs w:val="16"/>
        <w:lang w:val="da-DK"/>
      </w:rPr>
      <w:t xml:space="preserve">Page </w:t>
    </w:r>
    <w:r>
      <w:fldChar w:fldCharType="begin"/>
    </w:r>
    <w:r>
      <w:instrText xml:space="preserve"> PAGE  \* Arabic  \* MERGEFORMAT </w:instrText>
    </w:r>
    <w:r>
      <w:fldChar w:fldCharType="separate"/>
    </w:r>
    <w:r w:rsidR="00536549" w:rsidRPr="00536549">
      <w:rPr>
        <w:noProof/>
        <w:szCs w:val="16"/>
        <w:lang w:val="da-DK"/>
      </w:rPr>
      <w:t>52</w:t>
    </w:r>
    <w:r>
      <w:rPr>
        <w:noProof/>
        <w:szCs w:val="16"/>
        <w:lang w:val="da-DK"/>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Pr="007C5F95" w:rsidRDefault="00E41E35" w:rsidP="008A54FC">
    <w:pPr>
      <w:pStyle w:val="En-tte"/>
      <w:jc w:val="right"/>
      <w:rPr>
        <w:szCs w:val="16"/>
        <w:lang w:val="da-DK"/>
      </w:rPr>
    </w:pPr>
    <w:r>
      <w:rPr>
        <w:lang w:val="da-DK"/>
      </w:rPr>
      <w:t xml:space="preserve">ECC REPORT &lt;No&gt;- </w:t>
    </w:r>
    <w:r w:rsidRPr="007C5F95">
      <w:rPr>
        <w:lang w:val="da-DK"/>
      </w:rPr>
      <w:t xml:space="preserve"> </w:t>
    </w:r>
    <w:r>
      <w:rPr>
        <w:szCs w:val="16"/>
        <w:lang w:val="da-DK"/>
      </w:rPr>
      <w:t xml:space="preserve">Page </w:t>
    </w:r>
    <w:r>
      <w:fldChar w:fldCharType="begin"/>
    </w:r>
    <w:r>
      <w:instrText xml:space="preserve"> PAGE  \* Arabic  \* MERGEFORMAT </w:instrText>
    </w:r>
    <w:r>
      <w:fldChar w:fldCharType="separate"/>
    </w:r>
    <w:r w:rsidR="00536549" w:rsidRPr="00536549">
      <w:rPr>
        <w:noProof/>
        <w:szCs w:val="16"/>
        <w:lang w:val="da-DK"/>
      </w:rPr>
      <w:t>51</w:t>
    </w:r>
    <w:r>
      <w:rPr>
        <w:noProof/>
        <w:szCs w:val="16"/>
        <w:lang w:val="da-DK"/>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E35" w:rsidRPr="001223D0" w:rsidRDefault="00E41E35" w:rsidP="008A54FC">
    <w:pPr>
      <w:pStyle w:val="En-tte"/>
      <w:rPr>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C3539"/>
    <w:multiLevelType w:val="multilevel"/>
    <w:tmpl w:val="FCEC7FBC"/>
    <w:numStyleLink w:val="ECCBullets"/>
  </w:abstractNum>
  <w:abstractNum w:abstractNumId="1">
    <w:nsid w:val="0D9532ED"/>
    <w:multiLevelType w:val="multilevel"/>
    <w:tmpl w:val="FCEC7FBC"/>
    <w:numStyleLink w:val="ECCBullets"/>
  </w:abstractNum>
  <w:abstractNum w:abstractNumId="2">
    <w:nsid w:val="16706F19"/>
    <w:multiLevelType w:val="multilevel"/>
    <w:tmpl w:val="FCEC7FBC"/>
    <w:numStyleLink w:val="ECCBullets"/>
  </w:abstractNum>
  <w:abstractNum w:abstractNumId="3">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4">
    <w:nsid w:val="174A2AC4"/>
    <w:multiLevelType w:val="multilevel"/>
    <w:tmpl w:val="FCEC7FBC"/>
    <w:numStyleLink w:val="ECCBullets"/>
  </w:abstractNum>
  <w:abstractNum w:abstractNumId="5">
    <w:nsid w:val="20A87A02"/>
    <w:multiLevelType w:val="hybridMultilevel"/>
    <w:tmpl w:val="3962F2D4"/>
    <w:lvl w:ilvl="0" w:tplc="6E3A243C">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cs="Arial Bold"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cs="Arial Bold"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cs="Arial Bold"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6">
    <w:nsid w:val="212F4188"/>
    <w:multiLevelType w:val="multilevel"/>
    <w:tmpl w:val="169232E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271874F6"/>
    <w:multiLevelType w:val="hybridMultilevel"/>
    <w:tmpl w:val="F9C0D780"/>
    <w:lvl w:ilvl="0" w:tplc="73C4B67C">
      <w:start w:val="1"/>
      <w:numFmt w:val="bullet"/>
      <w:lvlText w:val=""/>
      <w:lvlJc w:val="left"/>
      <w:pPr>
        <w:ind w:left="360" w:hanging="360"/>
      </w:pPr>
      <w:rPr>
        <w:rFonts w:ascii="Symbol" w:hAnsi="Symbol" w:hint="default"/>
        <w:color w:val="C0000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8">
    <w:nsid w:val="38F71F9F"/>
    <w:multiLevelType w:val="hybridMultilevel"/>
    <w:tmpl w:val="ABBA87E4"/>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nsid w:val="3D163F7A"/>
    <w:multiLevelType w:val="multilevel"/>
    <w:tmpl w:val="574689AA"/>
    <w:lvl w:ilvl="0">
      <w:numFmt w:val="decimal"/>
      <w:pStyle w:val="Titre1"/>
      <w:lvlText w:val="%1"/>
      <w:lvlJc w:val="left"/>
      <w:pPr>
        <w:tabs>
          <w:tab w:val="num" w:pos="432"/>
        </w:tabs>
        <w:ind w:left="432" w:hanging="432"/>
      </w:pPr>
      <w:rPr>
        <w:rFonts w:ascii="Arial" w:hAnsi="Arial" w:hint="default"/>
        <w:b/>
        <w:i w:val="0"/>
        <w:color w:val="D2232A"/>
        <w:sz w:val="20"/>
        <w:szCs w:val="20"/>
      </w:rPr>
    </w:lvl>
    <w:lvl w:ilvl="1">
      <w:start w:val="1"/>
      <w:numFmt w:val="decimal"/>
      <w:pStyle w:val="Titre2"/>
      <w:lvlText w:val="%1.%2"/>
      <w:lvlJc w:val="left"/>
      <w:pPr>
        <w:tabs>
          <w:tab w:val="num" w:pos="576"/>
        </w:tabs>
        <w:ind w:left="576" w:hanging="576"/>
      </w:pPr>
      <w:rPr>
        <w:rFonts w:ascii="Arial" w:hAnsi="Arial" w:hint="default"/>
        <w:b/>
        <w:i w:val="0"/>
        <w:sz w:val="20"/>
      </w:rPr>
    </w:lvl>
    <w:lvl w:ilvl="2">
      <w:start w:val="1"/>
      <w:numFmt w:val="decimal"/>
      <w:pStyle w:val="Titre3"/>
      <w:lvlText w:val="%1.%2.%3"/>
      <w:lvlJc w:val="left"/>
      <w:pPr>
        <w:tabs>
          <w:tab w:val="num" w:pos="720"/>
        </w:tabs>
        <w:ind w:left="720" w:hanging="720"/>
      </w:pPr>
      <w:rPr>
        <w:rFonts w:ascii="Arial" w:hAnsi="Arial" w:hint="default"/>
        <w:b/>
        <w:i w:val="0"/>
        <w:caps w:val="0"/>
        <w:sz w:val="20"/>
        <w:szCs w:val="20"/>
      </w:rPr>
    </w:lvl>
    <w:lvl w:ilvl="3">
      <w:start w:val="1"/>
      <w:numFmt w:val="decimal"/>
      <w:pStyle w:val="Titre4"/>
      <w:lvlText w:val="%1.%2.%3.%4"/>
      <w:lvlJc w:val="left"/>
      <w:pPr>
        <w:tabs>
          <w:tab w:val="num" w:pos="864"/>
        </w:tabs>
        <w:ind w:left="864" w:hanging="864"/>
      </w:pPr>
      <w:rPr>
        <w:rFonts w:ascii="Arial" w:hAnsi="Arial" w:hint="default"/>
        <w:b w:val="0"/>
        <w:i/>
        <w:sz w:val="20"/>
      </w:rPr>
    </w:lvl>
    <w:lvl w:ilvl="4">
      <w:start w:val="1"/>
      <w:numFmt w:val="decimal"/>
      <w:pStyle w:val="Titre5"/>
      <w:lvlText w:val="%1.%2.%3.%4.%5"/>
      <w:lvlJc w:val="left"/>
      <w:pPr>
        <w:tabs>
          <w:tab w:val="num" w:pos="1008"/>
        </w:tabs>
        <w:ind w:left="1008" w:hanging="1008"/>
      </w:pPr>
      <w:rPr>
        <w:rFonts w:hint="default"/>
        <w:sz w:val="24"/>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0">
    <w:nsid w:val="46E6242A"/>
    <w:multiLevelType w:val="hybridMultilevel"/>
    <w:tmpl w:val="9146C086"/>
    <w:lvl w:ilvl="0" w:tplc="5D1C976A">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99B11C1"/>
    <w:multiLevelType w:val="multilevel"/>
    <w:tmpl w:val="0DFE2290"/>
    <w:lvl w:ilvl="0">
      <w:start w:val="1"/>
      <w:numFmt w:val="decimal"/>
      <w:pStyle w:val="ECCFiguretitle"/>
      <w:suff w:val="space"/>
      <w:lvlText w:val="Figure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4C59319F"/>
    <w:multiLevelType w:val="hybridMultilevel"/>
    <w:tmpl w:val="CEB69CA6"/>
    <w:lvl w:ilvl="0" w:tplc="56CC27A0">
      <w:start w:val="1"/>
      <w:numFmt w:val="lowerLetter"/>
      <w:lvlText w:val="%1."/>
      <w:lvlJc w:val="left"/>
      <w:pPr>
        <w:tabs>
          <w:tab w:val="num" w:pos="720"/>
        </w:tabs>
        <w:ind w:left="720" w:hanging="360"/>
      </w:pPr>
      <w:rPr>
        <w:rFonts w:ascii="Arial" w:hAnsi="Arial" w:hint="default"/>
        <w:color w:val="C00000"/>
        <w:sz w:val="20"/>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13">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4">
    <w:nsid w:val="54947190"/>
    <w:multiLevelType w:val="multilevel"/>
    <w:tmpl w:val="FCEC7FBC"/>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cs="Times New Roman"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cs="Times New Roman" w:hint="default"/>
      </w:rPr>
    </w:lvl>
    <w:lvl w:ilvl="8">
      <w:start w:val="1"/>
      <w:numFmt w:val="bullet"/>
      <w:lvlText w:val=""/>
      <w:lvlJc w:val="left"/>
      <w:pPr>
        <w:tabs>
          <w:tab w:val="num" w:pos="5459"/>
        </w:tabs>
        <w:ind w:left="5459" w:hanging="360"/>
      </w:pPr>
      <w:rPr>
        <w:rFonts w:ascii="Wingdings" w:hAnsi="Wingdings" w:hint="default"/>
      </w:rPr>
    </w:lvl>
  </w:abstractNum>
  <w:abstractNum w:abstractNumId="15">
    <w:nsid w:val="55E463AA"/>
    <w:multiLevelType w:val="hybridMultilevel"/>
    <w:tmpl w:val="842E6B72"/>
    <w:lvl w:ilvl="0" w:tplc="73C4B67C">
      <w:start w:val="1"/>
      <w:numFmt w:val="bullet"/>
      <w:lvlText w:val=""/>
      <w:lvlJc w:val="left"/>
      <w:pPr>
        <w:tabs>
          <w:tab w:val="num" w:pos="720"/>
        </w:tabs>
        <w:ind w:left="720" w:hanging="360"/>
      </w:pPr>
      <w:rPr>
        <w:rFonts w:ascii="Symbol" w:hAnsi="Symbol" w:hint="default"/>
        <w:color w:val="C0000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Wingdings" w:hint="default"/>
      </w:rPr>
    </w:lvl>
    <w:lvl w:ilvl="3" w:tplc="04070001">
      <w:start w:val="1"/>
      <w:numFmt w:val="bullet"/>
      <w:lvlText w:val=""/>
      <w:lvlJc w:val="left"/>
      <w:pPr>
        <w:tabs>
          <w:tab w:val="num" w:pos="2880"/>
        </w:tabs>
        <w:ind w:left="2880" w:hanging="360"/>
      </w:pPr>
      <w:rPr>
        <w:rFonts w:ascii="Symbol" w:hAnsi="Symbol" w:cs="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Wingdings" w:hint="default"/>
      </w:rPr>
    </w:lvl>
    <w:lvl w:ilvl="6" w:tplc="04070001">
      <w:start w:val="1"/>
      <w:numFmt w:val="bullet"/>
      <w:lvlText w:val=""/>
      <w:lvlJc w:val="left"/>
      <w:pPr>
        <w:tabs>
          <w:tab w:val="num" w:pos="5040"/>
        </w:tabs>
        <w:ind w:left="5040" w:hanging="360"/>
      </w:pPr>
      <w:rPr>
        <w:rFonts w:ascii="Symbol" w:hAnsi="Symbol" w:cs="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Wingdings" w:hint="default"/>
      </w:rPr>
    </w:lvl>
  </w:abstractNum>
  <w:abstractNum w:abstractNumId="16">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7">
    <w:nsid w:val="5C131CF4"/>
    <w:multiLevelType w:val="multilevel"/>
    <w:tmpl w:val="FCEC7FBC"/>
    <w:numStyleLink w:val="ECCBullets"/>
  </w:abstractNum>
  <w:abstractNum w:abstractNumId="18">
    <w:nsid w:val="5C8C20E3"/>
    <w:multiLevelType w:val="multilevel"/>
    <w:tmpl w:val="FCEC7FBC"/>
    <w:numStyleLink w:val="ECCBullets"/>
  </w:abstractNum>
  <w:abstractNum w:abstractNumId="19">
    <w:nsid w:val="5FCC56F7"/>
    <w:multiLevelType w:val="hybridMultilevel"/>
    <w:tmpl w:val="015A1FF0"/>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nsid w:val="66F75CA3"/>
    <w:multiLevelType w:val="multilevel"/>
    <w:tmpl w:val="FCEC7FBC"/>
    <w:numStyleLink w:val="ECCBullets"/>
  </w:abstractNum>
  <w:abstractNum w:abstractNumId="21">
    <w:nsid w:val="67086813"/>
    <w:multiLevelType w:val="hybridMultilevel"/>
    <w:tmpl w:val="C03C694A"/>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nsid w:val="681C5224"/>
    <w:multiLevelType w:val="hybridMultilevel"/>
    <w:tmpl w:val="D270A43C"/>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nsid w:val="6D7D324C"/>
    <w:multiLevelType w:val="multilevel"/>
    <w:tmpl w:val="FCEC7FBC"/>
    <w:numStyleLink w:val="ECCBullets"/>
  </w:abstractNum>
  <w:abstractNum w:abstractNumId="24">
    <w:nsid w:val="6F100F33"/>
    <w:multiLevelType w:val="multilevel"/>
    <w:tmpl w:val="FCEC7FBC"/>
    <w:numStyleLink w:val="ECCBullets"/>
  </w:abstractNum>
  <w:abstractNum w:abstractNumId="25">
    <w:nsid w:val="71AC2E44"/>
    <w:multiLevelType w:val="hybridMultilevel"/>
    <w:tmpl w:val="29FE6F2C"/>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nsid w:val="7B3212E4"/>
    <w:multiLevelType w:val="multilevel"/>
    <w:tmpl w:val="A724997C"/>
    <w:lvl w:ilvl="0">
      <w:start w:val="1"/>
      <w:numFmt w:val="decimal"/>
      <w:pStyle w:val="ECCTabletitle"/>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7B9E418F"/>
    <w:multiLevelType w:val="multilevel"/>
    <w:tmpl w:val="FCEC7FBC"/>
    <w:numStyleLink w:val="ECCBullets"/>
  </w:abstractNum>
  <w:num w:numId="1">
    <w:abstractNumId w:val="5"/>
  </w:num>
  <w:num w:numId="2">
    <w:abstractNumId w:val="9"/>
  </w:num>
  <w:num w:numId="3">
    <w:abstractNumId w:val="26"/>
  </w:num>
  <w:num w:numId="4">
    <w:abstractNumId w:val="11"/>
  </w:num>
  <w:num w:numId="5">
    <w:abstractNumId w:val="6"/>
  </w:num>
  <w:num w:numId="6">
    <w:abstractNumId w:val="10"/>
  </w:num>
  <w:num w:numId="7">
    <w:abstractNumId w:val="3"/>
  </w:num>
  <w:num w:numId="8">
    <w:abstractNumId w:val="16"/>
  </w:num>
  <w:num w:numId="9">
    <w:abstractNumId w:val="13"/>
  </w:num>
  <w:num w:numId="10">
    <w:abstractNumId w:val="19"/>
  </w:num>
  <w:num w:numId="11">
    <w:abstractNumId w:val="8"/>
  </w:num>
  <w:num w:numId="12">
    <w:abstractNumId w:val="12"/>
  </w:num>
  <w:num w:numId="13">
    <w:abstractNumId w:val="15"/>
  </w:num>
  <w:num w:numId="14">
    <w:abstractNumId w:val="21"/>
  </w:num>
  <w:num w:numId="15">
    <w:abstractNumId w:val="22"/>
  </w:num>
  <w:num w:numId="16">
    <w:abstractNumId w:val="7"/>
  </w:num>
  <w:num w:numId="17">
    <w:abstractNumId w:val="25"/>
  </w:num>
  <w:num w:numId="18">
    <w:abstractNumId w:val="5"/>
  </w:num>
  <w:num w:numId="1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0"/>
  </w:num>
  <w:num w:numId="23">
    <w:abstractNumId w:val="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27"/>
  </w:num>
  <w:num w:numId="29">
    <w:abstractNumId w:val="1"/>
  </w:num>
  <w:num w:numId="30">
    <w:abstractNumId w:val="20"/>
  </w:num>
  <w:num w:numId="31">
    <w:abstractNumId w:val="17"/>
  </w:num>
  <w:num w:numId="32">
    <w:abstractNumId w:val="4"/>
  </w:num>
  <w:num w:numId="33">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hyphenationZone w:val="425"/>
  <w:evenAndOddHeaders/>
  <w:characterSpacingControl w:val="doNotCompress"/>
  <w:hdrShapeDefaults>
    <o:shapedefaults v:ext="edit" spidmax="2049">
      <o:colormru v:ext="edit" colors="#7b6c58,#887e6e,#b0a69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32D4"/>
    <w:rsid w:val="00026A63"/>
    <w:rsid w:val="00067793"/>
    <w:rsid w:val="000C028F"/>
    <w:rsid w:val="000E42F5"/>
    <w:rsid w:val="000F6780"/>
    <w:rsid w:val="001561DE"/>
    <w:rsid w:val="00274F84"/>
    <w:rsid w:val="002A4295"/>
    <w:rsid w:val="002B2B80"/>
    <w:rsid w:val="003E40C0"/>
    <w:rsid w:val="00413A48"/>
    <w:rsid w:val="00536549"/>
    <w:rsid w:val="00550D79"/>
    <w:rsid w:val="00557B5A"/>
    <w:rsid w:val="00594186"/>
    <w:rsid w:val="00596D5D"/>
    <w:rsid w:val="005C10EB"/>
    <w:rsid w:val="006D1BB1"/>
    <w:rsid w:val="00720CFD"/>
    <w:rsid w:val="00734A4F"/>
    <w:rsid w:val="00763BA3"/>
    <w:rsid w:val="00767BB2"/>
    <w:rsid w:val="00797D4C"/>
    <w:rsid w:val="007C3130"/>
    <w:rsid w:val="007D6842"/>
    <w:rsid w:val="007E42E6"/>
    <w:rsid w:val="008A54FC"/>
    <w:rsid w:val="008B56EB"/>
    <w:rsid w:val="008B70CD"/>
    <w:rsid w:val="009E47EB"/>
    <w:rsid w:val="009F4322"/>
    <w:rsid w:val="00A076B5"/>
    <w:rsid w:val="00A23A71"/>
    <w:rsid w:val="00A81711"/>
    <w:rsid w:val="00A95ACB"/>
    <w:rsid w:val="00AA086A"/>
    <w:rsid w:val="00AA1738"/>
    <w:rsid w:val="00B055B7"/>
    <w:rsid w:val="00B30D3B"/>
    <w:rsid w:val="00B432D4"/>
    <w:rsid w:val="00BE75E2"/>
    <w:rsid w:val="00C73C6D"/>
    <w:rsid w:val="00C76E5B"/>
    <w:rsid w:val="00CE3B8E"/>
    <w:rsid w:val="00CF580E"/>
    <w:rsid w:val="00D03A14"/>
    <w:rsid w:val="00DC4FFC"/>
    <w:rsid w:val="00DF2C67"/>
    <w:rsid w:val="00E41E35"/>
    <w:rsid w:val="00E71AE7"/>
    <w:rsid w:val="00EA6088"/>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7b6c58,#887e6e,#b0a69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rPr>
  </w:style>
  <w:style w:type="paragraph" w:styleId="Titre1">
    <w:name w:val="heading 1"/>
    <w:aliases w:val="ECC Heading 1"/>
    <w:basedOn w:val="Normal"/>
    <w:next w:val="ECCParagraph"/>
    <w:link w:val="Titre1Car"/>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Titre2">
    <w:name w:val="heading 2"/>
    <w:aliases w:val="ECC Heading 2"/>
    <w:basedOn w:val="Normal"/>
    <w:next w:val="ECCParagraph"/>
    <w:autoRedefine/>
    <w:uiPriority w:val="99"/>
    <w:qFormat/>
    <w:rsid w:val="000F6780"/>
    <w:pPr>
      <w:keepNext/>
      <w:numPr>
        <w:ilvl w:val="1"/>
        <w:numId w:val="2"/>
      </w:numPr>
      <w:spacing w:before="480" w:after="240"/>
      <w:outlineLvl w:val="1"/>
    </w:pPr>
    <w:rPr>
      <w:rFonts w:cs="Arial"/>
      <w:b/>
      <w:bCs/>
      <w:iCs/>
      <w:caps/>
      <w:szCs w:val="28"/>
    </w:rPr>
  </w:style>
  <w:style w:type="paragraph" w:styleId="Titre3">
    <w:name w:val="heading 3"/>
    <w:aliases w:val="ECC Heading 3"/>
    <w:basedOn w:val="Normal"/>
    <w:next w:val="ECCParagraph"/>
    <w:autoRedefine/>
    <w:qFormat/>
    <w:rsid w:val="000F6780"/>
    <w:pPr>
      <w:keepNext/>
      <w:numPr>
        <w:ilvl w:val="2"/>
        <w:numId w:val="2"/>
      </w:numPr>
      <w:spacing w:before="360" w:after="120"/>
      <w:outlineLvl w:val="2"/>
    </w:pPr>
    <w:rPr>
      <w:rFonts w:cs="Arial"/>
      <w:b/>
      <w:szCs w:val="26"/>
    </w:rPr>
  </w:style>
  <w:style w:type="paragraph" w:styleId="Titre4">
    <w:name w:val="heading 4"/>
    <w:aliases w:val="ECC Heading 4"/>
    <w:basedOn w:val="Normal"/>
    <w:next w:val="ECCParagraph"/>
    <w:autoRedefine/>
    <w:uiPriority w:val="99"/>
    <w:qFormat/>
    <w:rsid w:val="000F6780"/>
    <w:pPr>
      <w:numPr>
        <w:ilvl w:val="3"/>
        <w:numId w:val="2"/>
      </w:numPr>
      <w:spacing w:before="360" w:after="120"/>
      <w:outlineLvl w:val="3"/>
    </w:pPr>
    <w:rPr>
      <w:rFonts w:cs="Arial"/>
      <w:bCs/>
      <w:i/>
      <w:color w:val="D2232A"/>
      <w:szCs w:val="26"/>
    </w:rPr>
  </w:style>
  <w:style w:type="paragraph" w:styleId="Titre5">
    <w:name w:val="heading 5"/>
    <w:basedOn w:val="Normal"/>
    <w:next w:val="Normal"/>
    <w:uiPriority w:val="99"/>
    <w:qFormat/>
    <w:rsid w:val="009E47EB"/>
    <w:pPr>
      <w:numPr>
        <w:ilvl w:val="4"/>
        <w:numId w:val="2"/>
      </w:numPr>
      <w:spacing w:before="240" w:after="60"/>
      <w:outlineLvl w:val="4"/>
    </w:pPr>
    <w:rPr>
      <w:b/>
      <w:bCs/>
      <w:i/>
      <w:iCs/>
      <w:sz w:val="26"/>
      <w:szCs w:val="26"/>
    </w:rPr>
  </w:style>
  <w:style w:type="paragraph" w:styleId="Titre6">
    <w:name w:val="heading 6"/>
    <w:basedOn w:val="Normal"/>
    <w:next w:val="Normal"/>
    <w:uiPriority w:val="99"/>
    <w:qFormat/>
    <w:rsid w:val="009E47EB"/>
    <w:pPr>
      <w:numPr>
        <w:ilvl w:val="5"/>
        <w:numId w:val="2"/>
      </w:numPr>
      <w:spacing w:before="240" w:after="60"/>
      <w:outlineLvl w:val="5"/>
    </w:pPr>
    <w:rPr>
      <w:b/>
      <w:bCs/>
      <w:sz w:val="22"/>
      <w:szCs w:val="22"/>
    </w:rPr>
  </w:style>
  <w:style w:type="paragraph" w:styleId="Titre7">
    <w:name w:val="heading 7"/>
    <w:basedOn w:val="Normal"/>
    <w:next w:val="Normal"/>
    <w:uiPriority w:val="99"/>
    <w:qFormat/>
    <w:rsid w:val="009E47EB"/>
    <w:pPr>
      <w:numPr>
        <w:ilvl w:val="6"/>
        <w:numId w:val="2"/>
      </w:numPr>
      <w:spacing w:before="240" w:after="60"/>
      <w:outlineLvl w:val="6"/>
    </w:pPr>
    <w:rPr>
      <w:sz w:val="24"/>
    </w:rPr>
  </w:style>
  <w:style w:type="paragraph" w:styleId="Titre8">
    <w:name w:val="heading 8"/>
    <w:basedOn w:val="Normal"/>
    <w:next w:val="Normal"/>
    <w:uiPriority w:val="99"/>
    <w:qFormat/>
    <w:rsid w:val="009E47EB"/>
    <w:pPr>
      <w:numPr>
        <w:ilvl w:val="7"/>
        <w:numId w:val="2"/>
      </w:numPr>
      <w:spacing w:before="240" w:after="60"/>
      <w:outlineLvl w:val="7"/>
    </w:pPr>
    <w:rPr>
      <w:i/>
      <w:iCs/>
      <w:sz w:val="24"/>
    </w:rPr>
  </w:style>
  <w:style w:type="paragraph" w:styleId="Titre9">
    <w:name w:val="heading 9"/>
    <w:basedOn w:val="Normal"/>
    <w:next w:val="Normal"/>
    <w:link w:val="Titre9Car"/>
    <w:uiPriority w:val="99"/>
    <w:qFormat/>
    <w:rsid w:val="009E47EB"/>
    <w:pPr>
      <w:numPr>
        <w:ilvl w:val="8"/>
        <w:numId w:val="2"/>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uiPriority w:val="99"/>
    <w:rsid w:val="00CB0AD7"/>
    <w:pPr>
      <w:numPr>
        <w:numId w:val="1"/>
      </w:numPr>
      <w:spacing w:after="0"/>
    </w:pPr>
  </w:style>
  <w:style w:type="paragraph" w:styleId="En-tte">
    <w:name w:val="header"/>
    <w:basedOn w:val="Normal"/>
    <w:semiHidden/>
    <w:rsid w:val="00C95C7C"/>
    <w:pPr>
      <w:tabs>
        <w:tab w:val="center" w:pos="4320"/>
        <w:tab w:val="right" w:pos="8640"/>
      </w:tabs>
    </w:pPr>
    <w:rPr>
      <w:b/>
      <w:sz w:val="16"/>
    </w:rPr>
  </w:style>
  <w:style w:type="paragraph" w:styleId="Pieddepage">
    <w:name w:val="footer"/>
    <w:basedOn w:val="Normal"/>
    <w:link w:val="PieddepageCar"/>
    <w:uiPriority w:val="99"/>
    <w:rsid w:val="0077244E"/>
    <w:pPr>
      <w:tabs>
        <w:tab w:val="center" w:pos="4320"/>
        <w:tab w:val="right" w:pos="8640"/>
      </w:tabs>
    </w:pPr>
  </w:style>
  <w:style w:type="paragraph" w:customStyle="1" w:styleId="ECCAnnexheading1">
    <w:name w:val="ECC Annex heading1"/>
    <w:basedOn w:val="Titre1"/>
    <w:next w:val="ECCParagraph"/>
    <w:uiPriority w:val="99"/>
    <w:rsid w:val="00550D79"/>
    <w:pPr>
      <w:numPr>
        <w:numId w:val="5"/>
      </w:numPr>
    </w:pPr>
  </w:style>
  <w:style w:type="paragraph" w:styleId="TM1">
    <w:name w:val="toc 1"/>
    <w:basedOn w:val="Normal"/>
    <w:next w:val="Normal"/>
    <w:autoRedefine/>
    <w:uiPriority w:val="39"/>
    <w:rsid w:val="00EA7A83"/>
    <w:pPr>
      <w:tabs>
        <w:tab w:val="left" w:pos="360"/>
        <w:tab w:val="right" w:leader="dot" w:pos="9629"/>
      </w:tabs>
      <w:spacing w:before="240"/>
    </w:pPr>
    <w:rPr>
      <w:b/>
      <w:caps/>
    </w:rPr>
  </w:style>
  <w:style w:type="character" w:styleId="Lienhypertexte">
    <w:name w:val="Hyperlink"/>
    <w:basedOn w:val="Policepardfaut"/>
    <w:uiPriority w:val="99"/>
    <w:rsid w:val="00A82384"/>
    <w:rPr>
      <w:color w:val="0000FF"/>
      <w:u w:val="single"/>
    </w:rPr>
  </w:style>
  <w:style w:type="paragraph" w:styleId="TM2">
    <w:name w:val="toc 2"/>
    <w:basedOn w:val="Normal"/>
    <w:next w:val="Normal"/>
    <w:autoRedefine/>
    <w:uiPriority w:val="39"/>
    <w:rsid w:val="00EA7A83"/>
    <w:pPr>
      <w:tabs>
        <w:tab w:val="left" w:pos="900"/>
        <w:tab w:val="right" w:leader="dot" w:pos="9629"/>
      </w:tabs>
      <w:ind w:left="360"/>
    </w:pPr>
  </w:style>
  <w:style w:type="paragraph" w:styleId="TM3">
    <w:name w:val="toc 3"/>
    <w:basedOn w:val="Normal"/>
    <w:next w:val="Normal"/>
    <w:autoRedefine/>
    <w:uiPriority w:val="39"/>
    <w:rsid w:val="00CF7259"/>
    <w:pPr>
      <w:tabs>
        <w:tab w:val="left" w:pos="1440"/>
        <w:tab w:val="right" w:leader="dot" w:pos="9629"/>
      </w:tabs>
      <w:ind w:left="900"/>
    </w:pPr>
  </w:style>
  <w:style w:type="paragraph" w:styleId="TM4">
    <w:name w:val="toc 4"/>
    <w:basedOn w:val="Normal"/>
    <w:next w:val="Normal"/>
    <w:autoRedefine/>
    <w:uiPriority w:val="39"/>
    <w:rsid w:val="007D1E37"/>
    <w:pPr>
      <w:tabs>
        <w:tab w:val="left" w:pos="2340"/>
        <w:tab w:val="right" w:leader="dot" w:pos="9629"/>
      </w:tabs>
      <w:ind w:left="1440"/>
    </w:pPr>
    <w:rPr>
      <w:i/>
    </w:rPr>
  </w:style>
  <w:style w:type="table" w:styleId="Grilledutableau">
    <w:name w:val="Table Grid"/>
    <w:basedOn w:val="TableauNormal"/>
    <w:semiHidden/>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autoRedefine/>
    <w:uiPriority w:val="99"/>
    <w:rsid w:val="007E42E6"/>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C95C7C"/>
    <w:pPr>
      <w:numPr>
        <w:numId w:val="3"/>
      </w:numPr>
      <w:spacing w:before="360" w:after="240"/>
    </w:pPr>
  </w:style>
  <w:style w:type="paragraph" w:customStyle="1" w:styleId="ECCFootnote">
    <w:name w:val="ECC Footnote"/>
    <w:basedOn w:val="Normal"/>
    <w:autoRedefine/>
    <w:uiPriority w:val="99"/>
    <w:rsid w:val="008935B9"/>
    <w:pPr>
      <w:ind w:left="454" w:hanging="454"/>
    </w:pPr>
    <w:rPr>
      <w:sz w:val="16"/>
    </w:rPr>
  </w:style>
  <w:style w:type="paragraph" w:styleId="Notedebasdepage">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NotedebasdepageCar"/>
    <w:uiPriority w:val="99"/>
    <w:rsid w:val="008935B9"/>
    <w:rPr>
      <w:szCs w:val="20"/>
    </w:rPr>
  </w:style>
  <w:style w:type="character" w:styleId="Appelnotedebasdep">
    <w:name w:val="footnote reference"/>
    <w:aliases w:val="Appel note de bas de p,Footnote Reference/,Footnote"/>
    <w:basedOn w:val="Policepardfaut"/>
    <w:uiPriority w:val="99"/>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uiPriority w:val="99"/>
    <w:rsid w:val="00A81711"/>
    <w:pPr>
      <w:spacing w:after="0"/>
      <w:ind w:left="284" w:hanging="284"/>
    </w:pPr>
    <w:rPr>
      <w:sz w:val="16"/>
      <w:szCs w:val="16"/>
    </w:rPr>
  </w:style>
  <w:style w:type="paragraph" w:customStyle="1" w:styleId="reference">
    <w:name w:val="reference"/>
    <w:basedOn w:val="Normal"/>
    <w:uiPriority w:val="99"/>
    <w:rsid w:val="00A50B64"/>
    <w:pPr>
      <w:numPr>
        <w:numId w:val="6"/>
      </w:numPr>
    </w:pPr>
    <w:rPr>
      <w:lang w:eastAsia="ja-JP"/>
    </w:rPr>
  </w:style>
  <w:style w:type="paragraph" w:customStyle="1" w:styleId="ECCAnnexheading2">
    <w:name w:val="ECC Annex heading2"/>
    <w:basedOn w:val="Normal"/>
    <w:next w:val="ECCParagraph"/>
    <w:uiPriority w:val="99"/>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uiPriority w:val="99"/>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uiPriority w:val="99"/>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Lgende">
    <w:name w:val="caption"/>
    <w:basedOn w:val="Normal"/>
    <w:next w:val="Normal"/>
    <w:uiPriority w:val="99"/>
    <w:semiHidden/>
    <w:unhideWhenUsed/>
    <w:qFormat/>
    <w:rsid w:val="00C4710C"/>
    <w:pPr>
      <w:spacing w:before="240" w:after="240"/>
      <w:jc w:val="center"/>
    </w:pPr>
    <w:rPr>
      <w:b/>
      <w:bCs/>
      <w:color w:val="D2232A"/>
      <w:szCs w:val="20"/>
    </w:rPr>
  </w:style>
  <w:style w:type="numbering" w:customStyle="1" w:styleId="ECCBullets">
    <w:name w:val="ECC Bullets"/>
    <w:basedOn w:val="Aucuneliste"/>
    <w:rsid w:val="00B113AE"/>
    <w:pPr>
      <w:numPr>
        <w:numId w:val="7"/>
      </w:numPr>
    </w:pPr>
  </w:style>
  <w:style w:type="paragraph" w:customStyle="1" w:styleId="ECCNumbered-LetteredList">
    <w:name w:val="ECC Numbered-Lettered List"/>
    <w:basedOn w:val="Normal"/>
    <w:qFormat/>
    <w:rsid w:val="00DF2C67"/>
    <w:pPr>
      <w:numPr>
        <w:numId w:val="9"/>
      </w:numPr>
    </w:pPr>
  </w:style>
  <w:style w:type="paragraph" w:customStyle="1" w:styleId="ECCNumberedBullets">
    <w:name w:val="ECC Numbered Bullets"/>
    <w:basedOn w:val="Normal"/>
    <w:uiPriority w:val="99"/>
    <w:rsid w:val="00DF2C67"/>
    <w:pPr>
      <w:numPr>
        <w:numId w:val="8"/>
      </w:numPr>
    </w:pPr>
  </w:style>
  <w:style w:type="paragraph" w:styleId="Textedebulles">
    <w:name w:val="Balloon Text"/>
    <w:basedOn w:val="Normal"/>
    <w:link w:val="TextedebullesCar"/>
    <w:uiPriority w:val="99"/>
    <w:semiHidden/>
    <w:unhideWhenUsed/>
    <w:rsid w:val="009E47E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9E47EB"/>
    <w:rPr>
      <w:rFonts w:ascii="Lucida Grande" w:hAnsi="Lucida Grande" w:cs="Lucida Grande"/>
      <w:sz w:val="18"/>
      <w:szCs w:val="18"/>
      <w:lang w:val="en-US"/>
    </w:rPr>
  </w:style>
  <w:style w:type="numbering" w:customStyle="1" w:styleId="ECCNumbers-Bullets">
    <w:name w:val="ECC Numbers-Bullets"/>
    <w:rsid w:val="00DF2C67"/>
    <w:pPr>
      <w:numPr>
        <w:numId w:val="8"/>
      </w:numPr>
    </w:pPr>
  </w:style>
  <w:style w:type="numbering" w:customStyle="1" w:styleId="ECCNumbers-Letters">
    <w:name w:val="ECC Numbers-Letters"/>
    <w:uiPriority w:val="99"/>
    <w:rsid w:val="00DF2C67"/>
    <w:pPr>
      <w:numPr>
        <w:numId w:val="9"/>
      </w:numPr>
    </w:pPr>
  </w:style>
  <w:style w:type="character" w:customStyle="1" w:styleId="Titre1Car">
    <w:name w:val="Titre 1 Car"/>
    <w:aliases w:val="ECC Heading 1 Car"/>
    <w:basedOn w:val="Policepardfaut"/>
    <w:link w:val="Titre1"/>
    <w:uiPriority w:val="99"/>
    <w:locked/>
    <w:rsid w:val="00AA1738"/>
    <w:rPr>
      <w:rFonts w:ascii="Arial" w:hAnsi="Arial" w:cs="Arial"/>
      <w:b/>
      <w:bCs/>
      <w:caps/>
      <w:color w:val="D2232A"/>
      <w:kern w:val="32"/>
      <w:szCs w:val="32"/>
    </w:rPr>
  </w:style>
  <w:style w:type="character" w:customStyle="1" w:styleId="NotedebasdepageCar">
    <w:name w:val="Note de bas de page Car"/>
    <w:aliases w:val="ALTS FOOTNOTE Car,Footnote Text Char1 Car,Footnote Text Char Char1 Car,Footnote Text Char4 Char Char Car,Footnote Text Char1 Char1 Char1 Char Car,Footnote Text Char Char1 Char1 Char Char Car,DNV-FT Car,DN Car"/>
    <w:basedOn w:val="Policepardfaut"/>
    <w:link w:val="Notedebasdepage"/>
    <w:uiPriority w:val="99"/>
    <w:locked/>
    <w:rsid w:val="00026A63"/>
    <w:rPr>
      <w:rFonts w:ascii="Arial" w:hAnsi="Arial"/>
      <w:lang w:val="en-US"/>
    </w:rPr>
  </w:style>
  <w:style w:type="character" w:customStyle="1" w:styleId="Artdef">
    <w:name w:val="Art_def"/>
    <w:basedOn w:val="Policepardfaut"/>
    <w:uiPriority w:val="99"/>
    <w:rsid w:val="00026A63"/>
    <w:rPr>
      <w:b/>
      <w:bCs/>
      <w:color w:val="auto"/>
    </w:rPr>
  </w:style>
  <w:style w:type="character" w:customStyle="1" w:styleId="Tablefreq">
    <w:name w:val="Table_freq"/>
    <w:basedOn w:val="Policepardfaut"/>
    <w:uiPriority w:val="99"/>
    <w:rsid w:val="00413A48"/>
    <w:rPr>
      <w:b/>
      <w:bCs/>
      <w:color w:val="auto"/>
    </w:rPr>
  </w:style>
  <w:style w:type="paragraph" w:customStyle="1" w:styleId="TableTextS5">
    <w:name w:val="Table_TextS5"/>
    <w:basedOn w:val="Normal"/>
    <w:uiPriority w:val="99"/>
    <w:rsid w:val="00413A48"/>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ascii="Times New Roman" w:hAnsi="Times New Roman"/>
      <w:szCs w:val="20"/>
      <w:lang w:val="fr-FR"/>
    </w:rPr>
  </w:style>
  <w:style w:type="character" w:customStyle="1" w:styleId="Artref">
    <w:name w:val="Art_ref"/>
    <w:basedOn w:val="Policepardfaut"/>
    <w:uiPriority w:val="99"/>
    <w:rsid w:val="00413A48"/>
    <w:rPr>
      <w:color w:val="auto"/>
    </w:rPr>
  </w:style>
  <w:style w:type="character" w:customStyle="1" w:styleId="Titre9Car">
    <w:name w:val="Titre 9 Car"/>
    <w:basedOn w:val="Policepardfaut"/>
    <w:link w:val="Titre9"/>
    <w:uiPriority w:val="99"/>
    <w:locked/>
    <w:rsid w:val="00413A48"/>
    <w:rPr>
      <w:rFonts w:ascii="Arial" w:hAnsi="Arial" w:cs="Arial"/>
      <w:sz w:val="22"/>
      <w:szCs w:val="22"/>
      <w:lang w:val="en-US"/>
    </w:rPr>
  </w:style>
  <w:style w:type="character" w:customStyle="1" w:styleId="PieddepageCar">
    <w:name w:val="Pied de page Car"/>
    <w:basedOn w:val="Policepardfaut"/>
    <w:link w:val="Pieddepage"/>
    <w:uiPriority w:val="99"/>
    <w:locked/>
    <w:rsid w:val="00413A48"/>
    <w:rPr>
      <w:rFonts w:ascii="Arial" w:hAnsi="Arial"/>
      <w:szCs w:val="24"/>
      <w:lang w:val="en-US"/>
    </w:rPr>
  </w:style>
  <w:style w:type="character" w:styleId="Numrodepage">
    <w:name w:val="page number"/>
    <w:basedOn w:val="Policepardfaut"/>
    <w:uiPriority w:val="99"/>
    <w:rsid w:val="00413A48"/>
  </w:style>
  <w:style w:type="paragraph" w:customStyle="1" w:styleId="Note">
    <w:name w:val="Note"/>
    <w:basedOn w:val="Normal"/>
    <w:link w:val="NoteChar"/>
    <w:uiPriority w:val="99"/>
    <w:rsid w:val="00413A48"/>
    <w:pPr>
      <w:tabs>
        <w:tab w:val="left" w:pos="284"/>
        <w:tab w:val="left" w:pos="1134"/>
        <w:tab w:val="left" w:pos="1871"/>
        <w:tab w:val="left" w:pos="2268"/>
      </w:tabs>
      <w:overflowPunct w:val="0"/>
      <w:autoSpaceDE w:val="0"/>
      <w:autoSpaceDN w:val="0"/>
      <w:adjustRightInd w:val="0"/>
      <w:spacing w:before="160"/>
      <w:jc w:val="both"/>
      <w:textAlignment w:val="baseline"/>
    </w:pPr>
    <w:rPr>
      <w:rFonts w:ascii="Times New Roman" w:hAnsi="Times New Roman"/>
      <w:szCs w:val="20"/>
      <w:lang w:val="fr-FR"/>
    </w:rPr>
  </w:style>
  <w:style w:type="character" w:customStyle="1" w:styleId="NoteChar">
    <w:name w:val="Note Char"/>
    <w:basedOn w:val="Policepardfaut"/>
    <w:link w:val="Note"/>
    <w:uiPriority w:val="99"/>
    <w:locked/>
    <w:rsid w:val="00413A48"/>
    <w:rPr>
      <w:lang w:val="fr-FR"/>
    </w:rPr>
  </w:style>
  <w:style w:type="character" w:customStyle="1" w:styleId="Resref">
    <w:name w:val="Res_ref"/>
    <w:basedOn w:val="Policepardfaut"/>
    <w:uiPriority w:val="99"/>
    <w:rsid w:val="00413A48"/>
    <w:rPr>
      <w:color w:val="auto"/>
    </w:rPr>
  </w:style>
  <w:style w:type="paragraph" w:customStyle="1" w:styleId="TAC">
    <w:name w:val="TAC"/>
    <w:basedOn w:val="Normal"/>
    <w:uiPriority w:val="99"/>
    <w:rsid w:val="00413A48"/>
    <w:pPr>
      <w:keepNext/>
      <w:keepLines/>
      <w:autoSpaceDE w:val="0"/>
      <w:autoSpaceDN w:val="0"/>
      <w:jc w:val="center"/>
    </w:pPr>
    <w:rPr>
      <w:rFonts w:cs="Arial"/>
      <w:szCs w:val="20"/>
      <w:lang w:val="de-DE" w:eastAsia="de-DE"/>
    </w:rPr>
  </w:style>
  <w:style w:type="paragraph" w:customStyle="1" w:styleId="TAD">
    <w:name w:val="TAD"/>
    <w:basedOn w:val="TAC"/>
    <w:uiPriority w:val="99"/>
    <w:rsid w:val="00413A48"/>
    <w:pPr>
      <w:keepNext w:val="0"/>
      <w:keepLines w:val="0"/>
      <w:tabs>
        <w:tab w:val="decimal" w:pos="567"/>
      </w:tabs>
      <w:jc w:val="left"/>
    </w:pPr>
  </w:style>
  <w:style w:type="paragraph" w:styleId="NormalWeb">
    <w:name w:val="Normal (Web)"/>
    <w:basedOn w:val="Normal"/>
    <w:uiPriority w:val="99"/>
    <w:rsid w:val="007C3130"/>
    <w:pPr>
      <w:spacing w:before="100" w:beforeAutospacing="1" w:after="100" w:afterAutospacing="1"/>
    </w:pPr>
    <w:rPr>
      <w:rFonts w:ascii="Verdana" w:hAnsi="Verdana" w:cs="Verdana"/>
      <w:sz w:val="24"/>
    </w:rPr>
  </w:style>
  <w:style w:type="character" w:customStyle="1" w:styleId="nowrap">
    <w:name w:val="nowrap"/>
    <w:basedOn w:val="Policepardfaut"/>
    <w:uiPriority w:val="99"/>
    <w:rsid w:val="007C3130"/>
  </w:style>
  <w:style w:type="character" w:styleId="AcronymeHTML">
    <w:name w:val="HTML Acronym"/>
    <w:basedOn w:val="Policepardfaut"/>
    <w:uiPriority w:val="99"/>
    <w:rsid w:val="007C3130"/>
  </w:style>
  <w:style w:type="character" w:styleId="Lienhypertextesuivivisit">
    <w:name w:val="FollowedHyperlink"/>
    <w:basedOn w:val="Policepardfaut"/>
    <w:uiPriority w:val="99"/>
    <w:semiHidden/>
    <w:unhideWhenUsed/>
    <w:rsid w:val="00CF580E"/>
    <w:rPr>
      <w:color w:val="800080" w:themeColor="followedHyperlink"/>
      <w:u w:val="single"/>
    </w:rPr>
  </w:style>
  <w:style w:type="paragraph" w:customStyle="1" w:styleId="ListParagraph1">
    <w:name w:val="List Paragraph1"/>
    <w:basedOn w:val="Normal"/>
    <w:qFormat/>
    <w:rsid w:val="006D1BB1"/>
    <w:pPr>
      <w:ind w:left="720"/>
      <w:jc w:val="both"/>
    </w:pPr>
    <w:rPr>
      <w:rFonts w:ascii="Times New Roman" w:hAnsi="Times New Roman"/>
      <w:sz w:val="22"/>
      <w:szCs w:val="22"/>
      <w:lang w:val="en-GB" w:eastAsia="de-DE"/>
    </w:rPr>
  </w:style>
  <w:style w:type="paragraph" w:customStyle="1" w:styleId="Sansinterligne1">
    <w:name w:val="Sans interligne1"/>
    <w:uiPriority w:val="99"/>
    <w:qFormat/>
    <w:rsid w:val="006D1BB1"/>
    <w:rPr>
      <w:sz w:val="24"/>
      <w:szCs w:val="24"/>
      <w:lang w:val="fr-FR" w:eastAsia="fr-FR"/>
    </w:rPr>
  </w:style>
  <w:style w:type="paragraph" w:customStyle="1" w:styleId="Listenabsatz">
    <w:name w:val="Listenabsatz"/>
    <w:basedOn w:val="Normal"/>
    <w:uiPriority w:val="34"/>
    <w:qFormat/>
    <w:rsid w:val="00E41E35"/>
    <w:pPr>
      <w:ind w:left="720"/>
      <w:jc w:val="both"/>
    </w:pPr>
    <w:rPr>
      <w:rFonts w:ascii="Times New Roman" w:hAnsi="Times New Roman"/>
      <w:sz w:val="22"/>
      <w:szCs w:val="22"/>
      <w:lang w:val="en-GB" w:eastAsia="de-DE"/>
    </w:rPr>
  </w:style>
  <w:style w:type="paragraph" w:customStyle="1" w:styleId="TableContents">
    <w:name w:val="Table Contents"/>
    <w:basedOn w:val="Normal"/>
    <w:uiPriority w:val="99"/>
    <w:rsid w:val="00E41E35"/>
    <w:pPr>
      <w:suppressLineNumbers/>
      <w:suppressAutoHyphens/>
    </w:pPr>
    <w:rPr>
      <w:rFonts w:ascii="Times New Roman" w:eastAsia="WenQuanYi Micro Hei" w:hAnsi="Times New Roman" w:cs="Lohit Hindi"/>
      <w:kern w:val="2"/>
      <w:sz w:val="24"/>
      <w:lang w:val="en-GB" w:eastAsia="hi-IN" w:bidi="hi-IN"/>
    </w:rPr>
  </w:style>
  <w:style w:type="character" w:styleId="Marquedecommentaire">
    <w:name w:val="annotation reference"/>
    <w:uiPriority w:val="99"/>
    <w:semiHidden/>
    <w:unhideWhenUsed/>
    <w:rsid w:val="00E41E35"/>
    <w:rPr>
      <w:rFonts w:ascii="Times New Roman" w:hAnsi="Times New Roman" w:cs="Times New Roman" w:hint="default"/>
      <w:sz w:val="16"/>
      <w:szCs w:val="16"/>
    </w:rPr>
  </w:style>
  <w:style w:type="character" w:customStyle="1" w:styleId="IntensiverVerweis">
    <w:name w:val="Intensiver Verweis"/>
    <w:uiPriority w:val="32"/>
    <w:qFormat/>
    <w:rsid w:val="00E41E35"/>
    <w:rPr>
      <w:rFonts w:ascii="Times New Roman" w:hAnsi="Times New Roman" w:cs="Times New Roman" w:hint="default"/>
      <w:b/>
      <w:bCs/>
      <w:smallCaps/>
      <w:color w:val="C0504D"/>
      <w:spacing w:val="5"/>
      <w:u w:val="single"/>
    </w:rPr>
  </w:style>
  <w:style w:type="character" w:customStyle="1" w:styleId="apple-converted-space">
    <w:name w:val="apple-converted-space"/>
    <w:uiPriority w:val="99"/>
    <w:rsid w:val="00E41E35"/>
    <w:rPr>
      <w:rFonts w:ascii="Times New Roman" w:hAnsi="Times New Roman" w:cs="Times New Roman" w:hint="default"/>
    </w:rPr>
  </w:style>
  <w:style w:type="character" w:styleId="Titredulivre">
    <w:name w:val="Book Title"/>
    <w:basedOn w:val="Policepardfaut"/>
    <w:uiPriority w:val="33"/>
    <w:qFormat/>
    <w:rsid w:val="00E41E35"/>
    <w:rPr>
      <w:b/>
      <w:bCs/>
      <w:smallCaps/>
      <w:spacing w:val="5"/>
    </w:rPr>
  </w:style>
  <w:style w:type="paragraph" w:styleId="Paragraphedeliste">
    <w:name w:val="List Paragraph"/>
    <w:basedOn w:val="Normal"/>
    <w:uiPriority w:val="34"/>
    <w:qFormat/>
    <w:rsid w:val="007E42E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rPr>
  </w:style>
  <w:style w:type="paragraph" w:styleId="Titre1">
    <w:name w:val="heading 1"/>
    <w:aliases w:val="ECC Heading 1"/>
    <w:basedOn w:val="Normal"/>
    <w:next w:val="ECCParagraph"/>
    <w:link w:val="Titre1Car"/>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Titre2">
    <w:name w:val="heading 2"/>
    <w:aliases w:val="ECC Heading 2"/>
    <w:basedOn w:val="Normal"/>
    <w:next w:val="ECCParagraph"/>
    <w:autoRedefine/>
    <w:uiPriority w:val="99"/>
    <w:qFormat/>
    <w:rsid w:val="000F6780"/>
    <w:pPr>
      <w:keepNext/>
      <w:numPr>
        <w:ilvl w:val="1"/>
        <w:numId w:val="2"/>
      </w:numPr>
      <w:spacing w:before="480" w:after="240"/>
      <w:outlineLvl w:val="1"/>
    </w:pPr>
    <w:rPr>
      <w:rFonts w:cs="Arial"/>
      <w:b/>
      <w:bCs/>
      <w:iCs/>
      <w:caps/>
      <w:szCs w:val="28"/>
    </w:rPr>
  </w:style>
  <w:style w:type="paragraph" w:styleId="Titre3">
    <w:name w:val="heading 3"/>
    <w:aliases w:val="ECC Heading 3"/>
    <w:basedOn w:val="Normal"/>
    <w:next w:val="ECCParagraph"/>
    <w:autoRedefine/>
    <w:qFormat/>
    <w:rsid w:val="000F6780"/>
    <w:pPr>
      <w:keepNext/>
      <w:numPr>
        <w:ilvl w:val="2"/>
        <w:numId w:val="2"/>
      </w:numPr>
      <w:spacing w:before="360" w:after="120"/>
      <w:outlineLvl w:val="2"/>
    </w:pPr>
    <w:rPr>
      <w:rFonts w:cs="Arial"/>
      <w:b/>
      <w:szCs w:val="26"/>
    </w:rPr>
  </w:style>
  <w:style w:type="paragraph" w:styleId="Titre4">
    <w:name w:val="heading 4"/>
    <w:aliases w:val="ECC Heading 4"/>
    <w:basedOn w:val="Normal"/>
    <w:next w:val="ECCParagraph"/>
    <w:autoRedefine/>
    <w:uiPriority w:val="99"/>
    <w:qFormat/>
    <w:rsid w:val="000F6780"/>
    <w:pPr>
      <w:numPr>
        <w:ilvl w:val="3"/>
        <w:numId w:val="2"/>
      </w:numPr>
      <w:spacing w:before="360" w:after="120"/>
      <w:outlineLvl w:val="3"/>
    </w:pPr>
    <w:rPr>
      <w:rFonts w:cs="Arial"/>
      <w:bCs/>
      <w:i/>
      <w:color w:val="D2232A"/>
      <w:szCs w:val="26"/>
    </w:rPr>
  </w:style>
  <w:style w:type="paragraph" w:styleId="Titre5">
    <w:name w:val="heading 5"/>
    <w:basedOn w:val="Normal"/>
    <w:next w:val="Normal"/>
    <w:uiPriority w:val="99"/>
    <w:qFormat/>
    <w:rsid w:val="009E47EB"/>
    <w:pPr>
      <w:numPr>
        <w:ilvl w:val="4"/>
        <w:numId w:val="2"/>
      </w:numPr>
      <w:spacing w:before="240" w:after="60"/>
      <w:outlineLvl w:val="4"/>
    </w:pPr>
    <w:rPr>
      <w:b/>
      <w:bCs/>
      <w:i/>
      <w:iCs/>
      <w:sz w:val="26"/>
      <w:szCs w:val="26"/>
    </w:rPr>
  </w:style>
  <w:style w:type="paragraph" w:styleId="Titre6">
    <w:name w:val="heading 6"/>
    <w:basedOn w:val="Normal"/>
    <w:next w:val="Normal"/>
    <w:uiPriority w:val="99"/>
    <w:qFormat/>
    <w:rsid w:val="009E47EB"/>
    <w:pPr>
      <w:numPr>
        <w:ilvl w:val="5"/>
        <w:numId w:val="2"/>
      </w:numPr>
      <w:spacing w:before="240" w:after="60"/>
      <w:outlineLvl w:val="5"/>
    </w:pPr>
    <w:rPr>
      <w:b/>
      <w:bCs/>
      <w:sz w:val="22"/>
      <w:szCs w:val="22"/>
    </w:rPr>
  </w:style>
  <w:style w:type="paragraph" w:styleId="Titre7">
    <w:name w:val="heading 7"/>
    <w:basedOn w:val="Normal"/>
    <w:next w:val="Normal"/>
    <w:uiPriority w:val="99"/>
    <w:qFormat/>
    <w:rsid w:val="009E47EB"/>
    <w:pPr>
      <w:numPr>
        <w:ilvl w:val="6"/>
        <w:numId w:val="2"/>
      </w:numPr>
      <w:spacing w:before="240" w:after="60"/>
      <w:outlineLvl w:val="6"/>
    </w:pPr>
    <w:rPr>
      <w:sz w:val="24"/>
    </w:rPr>
  </w:style>
  <w:style w:type="paragraph" w:styleId="Titre8">
    <w:name w:val="heading 8"/>
    <w:basedOn w:val="Normal"/>
    <w:next w:val="Normal"/>
    <w:uiPriority w:val="99"/>
    <w:qFormat/>
    <w:rsid w:val="009E47EB"/>
    <w:pPr>
      <w:numPr>
        <w:ilvl w:val="7"/>
        <w:numId w:val="2"/>
      </w:numPr>
      <w:spacing w:before="240" w:after="60"/>
      <w:outlineLvl w:val="7"/>
    </w:pPr>
    <w:rPr>
      <w:i/>
      <w:iCs/>
      <w:sz w:val="24"/>
    </w:rPr>
  </w:style>
  <w:style w:type="paragraph" w:styleId="Titre9">
    <w:name w:val="heading 9"/>
    <w:basedOn w:val="Normal"/>
    <w:next w:val="Normal"/>
    <w:link w:val="Titre9Car"/>
    <w:uiPriority w:val="99"/>
    <w:qFormat/>
    <w:rsid w:val="009E47EB"/>
    <w:pPr>
      <w:numPr>
        <w:ilvl w:val="8"/>
        <w:numId w:val="2"/>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uiPriority w:val="99"/>
    <w:rsid w:val="00CB0AD7"/>
    <w:pPr>
      <w:numPr>
        <w:numId w:val="1"/>
      </w:numPr>
      <w:spacing w:after="0"/>
    </w:pPr>
  </w:style>
  <w:style w:type="paragraph" w:styleId="En-tte">
    <w:name w:val="header"/>
    <w:basedOn w:val="Normal"/>
    <w:semiHidden/>
    <w:rsid w:val="00C95C7C"/>
    <w:pPr>
      <w:tabs>
        <w:tab w:val="center" w:pos="4320"/>
        <w:tab w:val="right" w:pos="8640"/>
      </w:tabs>
    </w:pPr>
    <w:rPr>
      <w:b/>
      <w:sz w:val="16"/>
    </w:rPr>
  </w:style>
  <w:style w:type="paragraph" w:styleId="Pieddepage">
    <w:name w:val="footer"/>
    <w:basedOn w:val="Normal"/>
    <w:link w:val="PieddepageCar"/>
    <w:uiPriority w:val="99"/>
    <w:rsid w:val="0077244E"/>
    <w:pPr>
      <w:tabs>
        <w:tab w:val="center" w:pos="4320"/>
        <w:tab w:val="right" w:pos="8640"/>
      </w:tabs>
    </w:pPr>
  </w:style>
  <w:style w:type="paragraph" w:customStyle="1" w:styleId="ECCAnnexheading1">
    <w:name w:val="ECC Annex heading1"/>
    <w:basedOn w:val="Titre1"/>
    <w:next w:val="ECCParagraph"/>
    <w:uiPriority w:val="99"/>
    <w:rsid w:val="00550D79"/>
    <w:pPr>
      <w:numPr>
        <w:numId w:val="5"/>
      </w:numPr>
    </w:pPr>
  </w:style>
  <w:style w:type="paragraph" w:styleId="TM1">
    <w:name w:val="toc 1"/>
    <w:basedOn w:val="Normal"/>
    <w:next w:val="Normal"/>
    <w:autoRedefine/>
    <w:uiPriority w:val="39"/>
    <w:rsid w:val="00EA7A83"/>
    <w:pPr>
      <w:tabs>
        <w:tab w:val="left" w:pos="360"/>
        <w:tab w:val="right" w:leader="dot" w:pos="9629"/>
      </w:tabs>
      <w:spacing w:before="240"/>
    </w:pPr>
    <w:rPr>
      <w:b/>
      <w:caps/>
    </w:rPr>
  </w:style>
  <w:style w:type="character" w:styleId="Lienhypertexte">
    <w:name w:val="Hyperlink"/>
    <w:basedOn w:val="Policepardfaut"/>
    <w:uiPriority w:val="99"/>
    <w:rsid w:val="00A82384"/>
    <w:rPr>
      <w:color w:val="0000FF"/>
      <w:u w:val="single"/>
    </w:rPr>
  </w:style>
  <w:style w:type="paragraph" w:styleId="TM2">
    <w:name w:val="toc 2"/>
    <w:basedOn w:val="Normal"/>
    <w:next w:val="Normal"/>
    <w:autoRedefine/>
    <w:uiPriority w:val="39"/>
    <w:rsid w:val="00EA7A83"/>
    <w:pPr>
      <w:tabs>
        <w:tab w:val="left" w:pos="900"/>
        <w:tab w:val="right" w:leader="dot" w:pos="9629"/>
      </w:tabs>
      <w:ind w:left="360"/>
    </w:pPr>
  </w:style>
  <w:style w:type="paragraph" w:styleId="TM3">
    <w:name w:val="toc 3"/>
    <w:basedOn w:val="Normal"/>
    <w:next w:val="Normal"/>
    <w:autoRedefine/>
    <w:uiPriority w:val="39"/>
    <w:rsid w:val="00CF7259"/>
    <w:pPr>
      <w:tabs>
        <w:tab w:val="left" w:pos="1440"/>
        <w:tab w:val="right" w:leader="dot" w:pos="9629"/>
      </w:tabs>
      <w:ind w:left="900"/>
    </w:pPr>
  </w:style>
  <w:style w:type="paragraph" w:styleId="TM4">
    <w:name w:val="toc 4"/>
    <w:basedOn w:val="Normal"/>
    <w:next w:val="Normal"/>
    <w:autoRedefine/>
    <w:uiPriority w:val="39"/>
    <w:rsid w:val="007D1E37"/>
    <w:pPr>
      <w:tabs>
        <w:tab w:val="left" w:pos="2340"/>
        <w:tab w:val="right" w:leader="dot" w:pos="9629"/>
      </w:tabs>
      <w:ind w:left="1440"/>
    </w:pPr>
    <w:rPr>
      <w:i/>
    </w:rPr>
  </w:style>
  <w:style w:type="table" w:styleId="Grilledutableau">
    <w:name w:val="Table Grid"/>
    <w:basedOn w:val="TableauNormal"/>
    <w:semiHidden/>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autoRedefine/>
    <w:uiPriority w:val="99"/>
    <w:rsid w:val="007E42E6"/>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C95C7C"/>
    <w:pPr>
      <w:numPr>
        <w:numId w:val="3"/>
      </w:numPr>
      <w:spacing w:before="360" w:after="240"/>
    </w:pPr>
  </w:style>
  <w:style w:type="paragraph" w:customStyle="1" w:styleId="ECCFootnote">
    <w:name w:val="ECC Footnote"/>
    <w:basedOn w:val="Normal"/>
    <w:autoRedefine/>
    <w:uiPriority w:val="99"/>
    <w:rsid w:val="008935B9"/>
    <w:pPr>
      <w:ind w:left="454" w:hanging="454"/>
    </w:pPr>
    <w:rPr>
      <w:sz w:val="16"/>
    </w:rPr>
  </w:style>
  <w:style w:type="paragraph" w:styleId="Notedebasdepage">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NotedebasdepageCar"/>
    <w:uiPriority w:val="99"/>
    <w:rsid w:val="008935B9"/>
    <w:rPr>
      <w:szCs w:val="20"/>
    </w:rPr>
  </w:style>
  <w:style w:type="character" w:styleId="Appelnotedebasdep">
    <w:name w:val="footnote reference"/>
    <w:aliases w:val="Appel note de bas de p,Footnote Reference/,Footnote"/>
    <w:basedOn w:val="Policepardfaut"/>
    <w:uiPriority w:val="99"/>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uiPriority w:val="99"/>
    <w:rsid w:val="00A81711"/>
    <w:pPr>
      <w:spacing w:after="0"/>
      <w:ind w:left="284" w:hanging="284"/>
    </w:pPr>
    <w:rPr>
      <w:sz w:val="16"/>
      <w:szCs w:val="16"/>
    </w:rPr>
  </w:style>
  <w:style w:type="paragraph" w:customStyle="1" w:styleId="reference">
    <w:name w:val="reference"/>
    <w:basedOn w:val="Normal"/>
    <w:uiPriority w:val="99"/>
    <w:rsid w:val="00A50B64"/>
    <w:pPr>
      <w:numPr>
        <w:numId w:val="6"/>
      </w:numPr>
    </w:pPr>
    <w:rPr>
      <w:lang w:eastAsia="ja-JP"/>
    </w:rPr>
  </w:style>
  <w:style w:type="paragraph" w:customStyle="1" w:styleId="ECCAnnexheading2">
    <w:name w:val="ECC Annex heading2"/>
    <w:basedOn w:val="Normal"/>
    <w:next w:val="ECCParagraph"/>
    <w:uiPriority w:val="99"/>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uiPriority w:val="99"/>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uiPriority w:val="99"/>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Lgende">
    <w:name w:val="caption"/>
    <w:basedOn w:val="Normal"/>
    <w:next w:val="Normal"/>
    <w:uiPriority w:val="99"/>
    <w:semiHidden/>
    <w:unhideWhenUsed/>
    <w:qFormat/>
    <w:rsid w:val="00C4710C"/>
    <w:pPr>
      <w:spacing w:before="240" w:after="240"/>
      <w:jc w:val="center"/>
    </w:pPr>
    <w:rPr>
      <w:b/>
      <w:bCs/>
      <w:color w:val="D2232A"/>
      <w:szCs w:val="20"/>
    </w:rPr>
  </w:style>
  <w:style w:type="numbering" w:customStyle="1" w:styleId="ECCBullets">
    <w:name w:val="ECC Bullets"/>
    <w:basedOn w:val="Aucuneliste"/>
    <w:rsid w:val="00B113AE"/>
    <w:pPr>
      <w:numPr>
        <w:numId w:val="7"/>
      </w:numPr>
    </w:pPr>
  </w:style>
  <w:style w:type="paragraph" w:customStyle="1" w:styleId="ECCNumbered-LetteredList">
    <w:name w:val="ECC Numbered-Lettered List"/>
    <w:basedOn w:val="Normal"/>
    <w:qFormat/>
    <w:rsid w:val="00DF2C67"/>
    <w:pPr>
      <w:numPr>
        <w:numId w:val="9"/>
      </w:numPr>
    </w:pPr>
  </w:style>
  <w:style w:type="paragraph" w:customStyle="1" w:styleId="ECCNumberedBullets">
    <w:name w:val="ECC Numbered Bullets"/>
    <w:basedOn w:val="Normal"/>
    <w:uiPriority w:val="99"/>
    <w:rsid w:val="00DF2C67"/>
    <w:pPr>
      <w:numPr>
        <w:numId w:val="8"/>
      </w:numPr>
    </w:pPr>
  </w:style>
  <w:style w:type="paragraph" w:styleId="Textedebulles">
    <w:name w:val="Balloon Text"/>
    <w:basedOn w:val="Normal"/>
    <w:link w:val="TextedebullesCar"/>
    <w:uiPriority w:val="99"/>
    <w:semiHidden/>
    <w:unhideWhenUsed/>
    <w:rsid w:val="009E47E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9E47EB"/>
    <w:rPr>
      <w:rFonts w:ascii="Lucida Grande" w:hAnsi="Lucida Grande" w:cs="Lucida Grande"/>
      <w:sz w:val="18"/>
      <w:szCs w:val="18"/>
      <w:lang w:val="en-US"/>
    </w:rPr>
  </w:style>
  <w:style w:type="numbering" w:customStyle="1" w:styleId="ECCNumbers-Bullets">
    <w:name w:val="ECC Numbers-Bullets"/>
    <w:rsid w:val="00DF2C67"/>
    <w:pPr>
      <w:numPr>
        <w:numId w:val="8"/>
      </w:numPr>
    </w:pPr>
  </w:style>
  <w:style w:type="numbering" w:customStyle="1" w:styleId="ECCNumbers-Letters">
    <w:name w:val="ECC Numbers-Letters"/>
    <w:uiPriority w:val="99"/>
    <w:rsid w:val="00DF2C67"/>
    <w:pPr>
      <w:numPr>
        <w:numId w:val="9"/>
      </w:numPr>
    </w:pPr>
  </w:style>
  <w:style w:type="character" w:customStyle="1" w:styleId="Titre1Car">
    <w:name w:val="Titre 1 Car"/>
    <w:aliases w:val="ECC Heading 1 Car"/>
    <w:basedOn w:val="Policepardfaut"/>
    <w:link w:val="Titre1"/>
    <w:uiPriority w:val="99"/>
    <w:locked/>
    <w:rsid w:val="00AA1738"/>
    <w:rPr>
      <w:rFonts w:ascii="Arial" w:hAnsi="Arial" w:cs="Arial"/>
      <w:b/>
      <w:bCs/>
      <w:caps/>
      <w:color w:val="D2232A"/>
      <w:kern w:val="32"/>
      <w:szCs w:val="32"/>
    </w:rPr>
  </w:style>
  <w:style w:type="character" w:customStyle="1" w:styleId="NotedebasdepageCar">
    <w:name w:val="Note de bas de page Car"/>
    <w:aliases w:val="ALTS FOOTNOTE Car,Footnote Text Char1 Car,Footnote Text Char Char1 Car,Footnote Text Char4 Char Char Car,Footnote Text Char1 Char1 Char1 Char Car,Footnote Text Char Char1 Char1 Char Char Car,DNV-FT Car,DN Car"/>
    <w:basedOn w:val="Policepardfaut"/>
    <w:link w:val="Notedebasdepage"/>
    <w:uiPriority w:val="99"/>
    <w:locked/>
    <w:rsid w:val="00026A63"/>
    <w:rPr>
      <w:rFonts w:ascii="Arial" w:hAnsi="Arial"/>
      <w:lang w:val="en-US"/>
    </w:rPr>
  </w:style>
  <w:style w:type="character" w:customStyle="1" w:styleId="Artdef">
    <w:name w:val="Art_def"/>
    <w:basedOn w:val="Policepardfaut"/>
    <w:uiPriority w:val="99"/>
    <w:rsid w:val="00026A63"/>
    <w:rPr>
      <w:b/>
      <w:bCs/>
      <w:color w:val="auto"/>
    </w:rPr>
  </w:style>
  <w:style w:type="character" w:customStyle="1" w:styleId="Tablefreq">
    <w:name w:val="Table_freq"/>
    <w:basedOn w:val="Policepardfaut"/>
    <w:uiPriority w:val="99"/>
    <w:rsid w:val="00413A48"/>
    <w:rPr>
      <w:b/>
      <w:bCs/>
      <w:color w:val="auto"/>
    </w:rPr>
  </w:style>
  <w:style w:type="paragraph" w:customStyle="1" w:styleId="TableTextS5">
    <w:name w:val="Table_TextS5"/>
    <w:basedOn w:val="Normal"/>
    <w:uiPriority w:val="99"/>
    <w:rsid w:val="00413A48"/>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ascii="Times New Roman" w:hAnsi="Times New Roman"/>
      <w:szCs w:val="20"/>
      <w:lang w:val="fr-FR"/>
    </w:rPr>
  </w:style>
  <w:style w:type="character" w:customStyle="1" w:styleId="Artref">
    <w:name w:val="Art_ref"/>
    <w:basedOn w:val="Policepardfaut"/>
    <w:uiPriority w:val="99"/>
    <w:rsid w:val="00413A48"/>
    <w:rPr>
      <w:color w:val="auto"/>
    </w:rPr>
  </w:style>
  <w:style w:type="character" w:customStyle="1" w:styleId="Titre9Car">
    <w:name w:val="Titre 9 Car"/>
    <w:basedOn w:val="Policepardfaut"/>
    <w:link w:val="Titre9"/>
    <w:uiPriority w:val="99"/>
    <w:locked/>
    <w:rsid w:val="00413A48"/>
    <w:rPr>
      <w:rFonts w:ascii="Arial" w:hAnsi="Arial" w:cs="Arial"/>
      <w:sz w:val="22"/>
      <w:szCs w:val="22"/>
      <w:lang w:val="en-US"/>
    </w:rPr>
  </w:style>
  <w:style w:type="character" w:customStyle="1" w:styleId="PieddepageCar">
    <w:name w:val="Pied de page Car"/>
    <w:basedOn w:val="Policepardfaut"/>
    <w:link w:val="Pieddepage"/>
    <w:uiPriority w:val="99"/>
    <w:locked/>
    <w:rsid w:val="00413A48"/>
    <w:rPr>
      <w:rFonts w:ascii="Arial" w:hAnsi="Arial"/>
      <w:szCs w:val="24"/>
      <w:lang w:val="en-US"/>
    </w:rPr>
  </w:style>
  <w:style w:type="character" w:styleId="Numrodepage">
    <w:name w:val="page number"/>
    <w:basedOn w:val="Policepardfaut"/>
    <w:uiPriority w:val="99"/>
    <w:rsid w:val="00413A48"/>
  </w:style>
  <w:style w:type="paragraph" w:customStyle="1" w:styleId="Note">
    <w:name w:val="Note"/>
    <w:basedOn w:val="Normal"/>
    <w:link w:val="NoteChar"/>
    <w:uiPriority w:val="99"/>
    <w:rsid w:val="00413A48"/>
    <w:pPr>
      <w:tabs>
        <w:tab w:val="left" w:pos="284"/>
        <w:tab w:val="left" w:pos="1134"/>
        <w:tab w:val="left" w:pos="1871"/>
        <w:tab w:val="left" w:pos="2268"/>
      </w:tabs>
      <w:overflowPunct w:val="0"/>
      <w:autoSpaceDE w:val="0"/>
      <w:autoSpaceDN w:val="0"/>
      <w:adjustRightInd w:val="0"/>
      <w:spacing w:before="160"/>
      <w:jc w:val="both"/>
      <w:textAlignment w:val="baseline"/>
    </w:pPr>
    <w:rPr>
      <w:rFonts w:ascii="Times New Roman" w:hAnsi="Times New Roman"/>
      <w:szCs w:val="20"/>
      <w:lang w:val="fr-FR"/>
    </w:rPr>
  </w:style>
  <w:style w:type="character" w:customStyle="1" w:styleId="NoteChar">
    <w:name w:val="Note Char"/>
    <w:basedOn w:val="Policepardfaut"/>
    <w:link w:val="Note"/>
    <w:uiPriority w:val="99"/>
    <w:locked/>
    <w:rsid w:val="00413A48"/>
    <w:rPr>
      <w:lang w:val="fr-FR"/>
    </w:rPr>
  </w:style>
  <w:style w:type="character" w:customStyle="1" w:styleId="Resref">
    <w:name w:val="Res_ref"/>
    <w:basedOn w:val="Policepardfaut"/>
    <w:uiPriority w:val="99"/>
    <w:rsid w:val="00413A48"/>
    <w:rPr>
      <w:color w:val="auto"/>
    </w:rPr>
  </w:style>
  <w:style w:type="paragraph" w:customStyle="1" w:styleId="TAC">
    <w:name w:val="TAC"/>
    <w:basedOn w:val="Normal"/>
    <w:uiPriority w:val="99"/>
    <w:rsid w:val="00413A48"/>
    <w:pPr>
      <w:keepNext/>
      <w:keepLines/>
      <w:autoSpaceDE w:val="0"/>
      <w:autoSpaceDN w:val="0"/>
      <w:jc w:val="center"/>
    </w:pPr>
    <w:rPr>
      <w:rFonts w:cs="Arial"/>
      <w:szCs w:val="20"/>
      <w:lang w:val="de-DE" w:eastAsia="de-DE"/>
    </w:rPr>
  </w:style>
  <w:style w:type="paragraph" w:customStyle="1" w:styleId="TAD">
    <w:name w:val="TAD"/>
    <w:basedOn w:val="TAC"/>
    <w:uiPriority w:val="99"/>
    <w:rsid w:val="00413A48"/>
    <w:pPr>
      <w:keepNext w:val="0"/>
      <w:keepLines w:val="0"/>
      <w:tabs>
        <w:tab w:val="decimal" w:pos="567"/>
      </w:tabs>
      <w:jc w:val="left"/>
    </w:pPr>
  </w:style>
  <w:style w:type="paragraph" w:styleId="NormalWeb">
    <w:name w:val="Normal (Web)"/>
    <w:basedOn w:val="Normal"/>
    <w:uiPriority w:val="99"/>
    <w:rsid w:val="007C3130"/>
    <w:pPr>
      <w:spacing w:before="100" w:beforeAutospacing="1" w:after="100" w:afterAutospacing="1"/>
    </w:pPr>
    <w:rPr>
      <w:rFonts w:ascii="Verdana" w:hAnsi="Verdana" w:cs="Verdana"/>
      <w:sz w:val="24"/>
    </w:rPr>
  </w:style>
  <w:style w:type="character" w:customStyle="1" w:styleId="nowrap">
    <w:name w:val="nowrap"/>
    <w:basedOn w:val="Policepardfaut"/>
    <w:uiPriority w:val="99"/>
    <w:rsid w:val="007C3130"/>
  </w:style>
  <w:style w:type="character" w:styleId="AcronymeHTML">
    <w:name w:val="HTML Acronym"/>
    <w:basedOn w:val="Policepardfaut"/>
    <w:uiPriority w:val="99"/>
    <w:rsid w:val="007C3130"/>
  </w:style>
  <w:style w:type="character" w:styleId="Lienhypertextesuivivisit">
    <w:name w:val="FollowedHyperlink"/>
    <w:basedOn w:val="Policepardfaut"/>
    <w:uiPriority w:val="99"/>
    <w:semiHidden/>
    <w:unhideWhenUsed/>
    <w:rsid w:val="00CF580E"/>
    <w:rPr>
      <w:color w:val="800080" w:themeColor="followedHyperlink"/>
      <w:u w:val="single"/>
    </w:rPr>
  </w:style>
  <w:style w:type="paragraph" w:customStyle="1" w:styleId="ListParagraph1">
    <w:name w:val="List Paragraph1"/>
    <w:basedOn w:val="Normal"/>
    <w:qFormat/>
    <w:rsid w:val="006D1BB1"/>
    <w:pPr>
      <w:ind w:left="720"/>
      <w:jc w:val="both"/>
    </w:pPr>
    <w:rPr>
      <w:rFonts w:ascii="Times New Roman" w:hAnsi="Times New Roman"/>
      <w:sz w:val="22"/>
      <w:szCs w:val="22"/>
      <w:lang w:val="en-GB" w:eastAsia="de-DE"/>
    </w:rPr>
  </w:style>
  <w:style w:type="paragraph" w:customStyle="1" w:styleId="Sansinterligne1">
    <w:name w:val="Sans interligne1"/>
    <w:uiPriority w:val="99"/>
    <w:qFormat/>
    <w:rsid w:val="006D1BB1"/>
    <w:rPr>
      <w:sz w:val="24"/>
      <w:szCs w:val="24"/>
      <w:lang w:val="fr-FR" w:eastAsia="fr-FR"/>
    </w:rPr>
  </w:style>
  <w:style w:type="paragraph" w:customStyle="1" w:styleId="Listenabsatz">
    <w:name w:val="Listenabsatz"/>
    <w:basedOn w:val="Normal"/>
    <w:uiPriority w:val="34"/>
    <w:qFormat/>
    <w:rsid w:val="00E41E35"/>
    <w:pPr>
      <w:ind w:left="720"/>
      <w:jc w:val="both"/>
    </w:pPr>
    <w:rPr>
      <w:rFonts w:ascii="Times New Roman" w:hAnsi="Times New Roman"/>
      <w:sz w:val="22"/>
      <w:szCs w:val="22"/>
      <w:lang w:val="en-GB" w:eastAsia="de-DE"/>
    </w:rPr>
  </w:style>
  <w:style w:type="paragraph" w:customStyle="1" w:styleId="TableContents">
    <w:name w:val="Table Contents"/>
    <w:basedOn w:val="Normal"/>
    <w:uiPriority w:val="99"/>
    <w:rsid w:val="00E41E35"/>
    <w:pPr>
      <w:suppressLineNumbers/>
      <w:suppressAutoHyphens/>
    </w:pPr>
    <w:rPr>
      <w:rFonts w:ascii="Times New Roman" w:eastAsia="WenQuanYi Micro Hei" w:hAnsi="Times New Roman" w:cs="Lohit Hindi"/>
      <w:kern w:val="2"/>
      <w:sz w:val="24"/>
      <w:lang w:val="en-GB" w:eastAsia="hi-IN" w:bidi="hi-IN"/>
    </w:rPr>
  </w:style>
  <w:style w:type="character" w:styleId="Marquedecommentaire">
    <w:name w:val="annotation reference"/>
    <w:uiPriority w:val="99"/>
    <w:semiHidden/>
    <w:unhideWhenUsed/>
    <w:rsid w:val="00E41E35"/>
    <w:rPr>
      <w:rFonts w:ascii="Times New Roman" w:hAnsi="Times New Roman" w:cs="Times New Roman" w:hint="default"/>
      <w:sz w:val="16"/>
      <w:szCs w:val="16"/>
    </w:rPr>
  </w:style>
  <w:style w:type="character" w:customStyle="1" w:styleId="IntensiverVerweis">
    <w:name w:val="Intensiver Verweis"/>
    <w:uiPriority w:val="32"/>
    <w:qFormat/>
    <w:rsid w:val="00E41E35"/>
    <w:rPr>
      <w:rFonts w:ascii="Times New Roman" w:hAnsi="Times New Roman" w:cs="Times New Roman" w:hint="default"/>
      <w:b/>
      <w:bCs/>
      <w:smallCaps/>
      <w:color w:val="C0504D"/>
      <w:spacing w:val="5"/>
      <w:u w:val="single"/>
    </w:rPr>
  </w:style>
  <w:style w:type="character" w:customStyle="1" w:styleId="apple-converted-space">
    <w:name w:val="apple-converted-space"/>
    <w:uiPriority w:val="99"/>
    <w:rsid w:val="00E41E35"/>
    <w:rPr>
      <w:rFonts w:ascii="Times New Roman" w:hAnsi="Times New Roman" w:cs="Times New Roman" w:hint="default"/>
    </w:rPr>
  </w:style>
  <w:style w:type="character" w:styleId="Titredulivre">
    <w:name w:val="Book Title"/>
    <w:basedOn w:val="Policepardfaut"/>
    <w:uiPriority w:val="33"/>
    <w:qFormat/>
    <w:rsid w:val="00E41E35"/>
    <w:rPr>
      <w:b/>
      <w:bCs/>
      <w:smallCaps/>
      <w:spacing w:val="5"/>
    </w:rPr>
  </w:style>
  <w:style w:type="paragraph" w:styleId="Paragraphedeliste">
    <w:name w:val="List Paragraph"/>
    <w:basedOn w:val="Normal"/>
    <w:uiPriority w:val="34"/>
    <w:qFormat/>
    <w:rsid w:val="007E42E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2321031">
      <w:bodyDiv w:val="1"/>
      <w:marLeft w:val="0"/>
      <w:marRight w:val="0"/>
      <w:marTop w:val="0"/>
      <w:marBottom w:val="0"/>
      <w:divBdr>
        <w:top w:val="none" w:sz="0" w:space="0" w:color="auto"/>
        <w:left w:val="none" w:sz="0" w:space="0" w:color="auto"/>
        <w:bottom w:val="none" w:sz="0" w:space="0" w:color="auto"/>
        <w:right w:val="none" w:sz="0" w:space="0" w:color="auto"/>
      </w:divBdr>
    </w:div>
    <w:div w:id="1276522714">
      <w:bodyDiv w:val="1"/>
      <w:marLeft w:val="0"/>
      <w:marRight w:val="0"/>
      <w:marTop w:val="0"/>
      <w:marBottom w:val="0"/>
      <w:divBdr>
        <w:top w:val="none" w:sz="0" w:space="0" w:color="auto"/>
        <w:left w:val="none" w:sz="0" w:space="0" w:color="auto"/>
        <w:bottom w:val="none" w:sz="0" w:space="0" w:color="auto"/>
        <w:right w:val="none" w:sz="0" w:space="0" w:color="auto"/>
      </w:divBdr>
    </w:div>
    <w:div w:id="2073961488">
      <w:bodyDiv w:val="1"/>
      <w:marLeft w:val="0"/>
      <w:marRight w:val="0"/>
      <w:marTop w:val="0"/>
      <w:marBottom w:val="0"/>
      <w:divBdr>
        <w:top w:val="none" w:sz="0" w:space="0" w:color="auto"/>
        <w:left w:val="none" w:sz="0" w:space="0" w:color="auto"/>
        <w:bottom w:val="none" w:sz="0" w:space="0" w:color="auto"/>
        <w:right w:val="none" w:sz="0" w:space="0" w:color="auto"/>
      </w:divBdr>
    </w:div>
    <w:div w:id="2082361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www.ero.dk/B9DFF2D9-0AE1-48C4-A87B-C7500355CC03?frames=no&amp;" TargetMode="External"/><Relationship Id="rId21" Type="http://schemas.openxmlformats.org/officeDocument/2006/relationships/image" Target="media/image9.png"/><Relationship Id="rId34" Type="http://schemas.openxmlformats.org/officeDocument/2006/relationships/hyperlink" Target="http://www.ero.dk/C381D881-85B5-47AF-BD76-D2E1E4241BC5?frames=no&amp;" TargetMode="External"/><Relationship Id="rId42" Type="http://schemas.openxmlformats.org/officeDocument/2006/relationships/hyperlink" Target="http://www.ero.dk/501D4329-32B0-4175-9A2A-2AC656185AB0?frames=no&amp;" TargetMode="External"/><Relationship Id="rId47" Type="http://schemas.openxmlformats.org/officeDocument/2006/relationships/hyperlink" Target="http://www.ero.dk/96604D52-07B4-44A0-A82C-D14B5433EAC7?frames=no&amp;" TargetMode="External"/><Relationship Id="rId50" Type="http://schemas.openxmlformats.org/officeDocument/2006/relationships/hyperlink" Target="http://www.ero.dk/8AA3FA53-0794-465E-A02A-87DA42C9BB9F?frames=no&amp;" TargetMode="External"/><Relationship Id="rId55" Type="http://schemas.openxmlformats.org/officeDocument/2006/relationships/hyperlink" Target="http://www.ero.dk/E81103F2-935C-417A-A737-39179CB4C33E?frames=no&amp;" TargetMode="External"/><Relationship Id="rId63" Type="http://schemas.openxmlformats.org/officeDocument/2006/relationships/hyperlink" Target="http://www.ero.dk/FE352210-8B6A-4902-835B-95F7607CD5A7?frames=no&amp;" TargetMode="External"/><Relationship Id="rId68" Type="http://schemas.openxmlformats.org/officeDocument/2006/relationships/hyperlink" Target="http://www.ero.dk/F77E145B-BA6C-42E9-91AD-710138361B72?frames=no&amp;" TargetMode="External"/><Relationship Id="rId76" Type="http://schemas.openxmlformats.org/officeDocument/2006/relationships/image" Target="media/image24.png"/><Relationship Id="rId84" Type="http://schemas.openxmlformats.org/officeDocument/2006/relationships/hyperlink" Target="http://rapa.or.kr/frequency/english/3_Korean_Allocations_Tables.pdf" TargetMode="External"/><Relationship Id="rId89" Type="http://schemas.openxmlformats.org/officeDocument/2006/relationships/header" Target="header6.xml"/><Relationship Id="rId7" Type="http://schemas.openxmlformats.org/officeDocument/2006/relationships/footnotes" Target="footnotes.xml"/><Relationship Id="rId71" Type="http://schemas.openxmlformats.org/officeDocument/2006/relationships/image" Target="media/image20.em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eccwp.cept.org/default.aspx?group=17" TargetMode="External"/><Relationship Id="rId29" Type="http://schemas.openxmlformats.org/officeDocument/2006/relationships/footer" Target="footer1.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19.jpeg"/><Relationship Id="rId37" Type="http://schemas.openxmlformats.org/officeDocument/2006/relationships/hyperlink" Target="http://www.ero.dk/51BF9704-1E5C-4522-A94B-4333CB5AF678?frames=no&amp;" TargetMode="External"/><Relationship Id="rId40" Type="http://schemas.openxmlformats.org/officeDocument/2006/relationships/hyperlink" Target="http://www.ero.dk/42EEEAA1-EF75-4E6A-B3CA-E0B4C018E9A3?frames=no&amp;" TargetMode="External"/><Relationship Id="rId45" Type="http://schemas.openxmlformats.org/officeDocument/2006/relationships/hyperlink" Target="http://www.ero.dk/9C83F70C-7AB3-4696-9DD2-F5AA4500CFEF?frames=no&amp;" TargetMode="External"/><Relationship Id="rId53" Type="http://schemas.openxmlformats.org/officeDocument/2006/relationships/hyperlink" Target="http://www.ero.dk/51665D6F-82E3-47F5-B3F8-B98299D06DE2?frames=no&amp;" TargetMode="External"/><Relationship Id="rId58" Type="http://schemas.openxmlformats.org/officeDocument/2006/relationships/hyperlink" Target="http://www.ero.dk/1B8BAFE8-7AE8-45D3-9275-19DB2B4F091A?frames=no&amp;" TargetMode="External"/><Relationship Id="rId66" Type="http://schemas.openxmlformats.org/officeDocument/2006/relationships/hyperlink" Target="http://www.ero.dk/7A9A5606-0DAC-4F61-8C15-442379DBCE4F?frames=no&amp;" TargetMode="External"/><Relationship Id="rId74" Type="http://schemas.openxmlformats.org/officeDocument/2006/relationships/hyperlink" Target="http://cept.org/ecc/topics/broadcasting/t-dab/ma02revco07-special-arrangement/ma02revco07-t-dab-plan-circular-letters" TargetMode="External"/><Relationship Id="rId79" Type="http://schemas.openxmlformats.org/officeDocument/2006/relationships/hyperlink" Target="http://files.radioscanner.ru/bands/files/document76/castoti_kitaa_2005.pdf" TargetMode="External"/><Relationship Id="rId87"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hyperlink" Target="http://www.ero.dk/5470575C-718E-4996-BAF2-5000816D3B26?frames=no&amp;" TargetMode="External"/><Relationship Id="rId82" Type="http://schemas.openxmlformats.org/officeDocument/2006/relationships/hyperlink" Target="http://www.cck.go.ke/licensing/downloads/Kenya_TOFA_2008_Edition.pdf" TargetMode="External"/><Relationship Id="rId90" Type="http://schemas.openxmlformats.org/officeDocument/2006/relationships/hyperlink" Target="http://www.erodocdb.dk/doks/filedownload.aspx?fileid=3356&amp;fileurl=http://www.erodocdb.dk/Docs/doc98/official/pdf/CEPTREP018.PDF" TargetMode="External"/><Relationship Id="rId19" Type="http://schemas.openxmlformats.org/officeDocument/2006/relationships/image" Target="media/image7.png"/><Relationship Id="rId14" Type="http://schemas.openxmlformats.org/officeDocument/2006/relationships/hyperlink" Target="http://www.dict.cc/englisch-deutsch/thermal+imaging+camera.html" TargetMode="Externa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hyperlink" Target="http://www.ero.dk/5A013CBE-4A16-4602-8311-2BF4DD0046E9?frames=no&amp;" TargetMode="External"/><Relationship Id="rId43" Type="http://schemas.openxmlformats.org/officeDocument/2006/relationships/hyperlink" Target="http://www.ero.dk/458D827E-2848-4B49-85C4-DDC6AF35C156?frames=no&amp;" TargetMode="External"/><Relationship Id="rId48" Type="http://schemas.openxmlformats.org/officeDocument/2006/relationships/hyperlink" Target="http://www.ero.dk/620B2CA4-96DF-4ED0-9711-3177B7C58378?frames=no&amp;" TargetMode="External"/><Relationship Id="rId56" Type="http://schemas.openxmlformats.org/officeDocument/2006/relationships/hyperlink" Target="http://www.ero.dk/62DE874B-9BC0-4186-BC46-1D53BCC989C2?frames=no&amp;" TargetMode="External"/><Relationship Id="rId64" Type="http://schemas.openxmlformats.org/officeDocument/2006/relationships/hyperlink" Target="http://www.ero.dk/635BE526-A743-4084-8D58-92B0506F93E2?frames=no&amp;" TargetMode="External"/><Relationship Id="rId69" Type="http://schemas.openxmlformats.org/officeDocument/2006/relationships/hyperlink" Target="http://www.ero.dk/54332E63-3074-4368-A18E-C461ED79043A?frames=no&amp;" TargetMode="External"/><Relationship Id="rId77" Type="http://schemas.openxmlformats.org/officeDocument/2006/relationships/hyperlink" Target="http://www.ic.gc.ca/eic/site/smt-gst.nsf/vwapj/spectallocation-08.pdf/$FILE/spectallocation-08.pdf" TargetMode="External"/><Relationship Id="rId8" Type="http://schemas.openxmlformats.org/officeDocument/2006/relationships/endnotes" Target="endnotes.xml"/><Relationship Id="rId51" Type="http://schemas.openxmlformats.org/officeDocument/2006/relationships/hyperlink" Target="http://www.ero.dk/A1109339-0FF0-463D-9BB6-4A669571B8F4?frames=no&amp;" TargetMode="External"/><Relationship Id="rId72" Type="http://schemas.openxmlformats.org/officeDocument/2006/relationships/image" Target="media/image21.emf"/><Relationship Id="rId80" Type="http://schemas.openxmlformats.org/officeDocument/2006/relationships/hyperlink" Target="http://210.212.79.13/nfap-2011.asp" TargetMode="External"/><Relationship Id="rId85" Type="http://schemas.openxmlformats.org/officeDocument/2006/relationships/hyperlink" Target="http://www.ic.gc.ca/eic/site/smt-gst.nsf/eng/sf09751.html" TargetMode="External"/><Relationship Id="rId3" Type="http://schemas.openxmlformats.org/officeDocument/2006/relationships/styles" Target="styles.xml"/><Relationship Id="rId12" Type="http://schemas.openxmlformats.org/officeDocument/2006/relationships/hyperlink" Target="http://www.erodocdb.dk/doks/filedownload.aspx?fileid=3356&amp;fileurl=http://www.erodocdb.dk/Docs/doc98/official/pdf/CEPTREP018.PDF"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hyperlink" Target="http://www.ero.dk/64136564-3B4C-4019-876D-D43D1E5DC47F?frames=no&amp;" TargetMode="External"/><Relationship Id="rId38" Type="http://schemas.openxmlformats.org/officeDocument/2006/relationships/hyperlink" Target="http://www.ero.dk/F7789703-24C7-4057-BA32-B886158C9DCD?frames=no&amp;" TargetMode="External"/><Relationship Id="rId46" Type="http://schemas.openxmlformats.org/officeDocument/2006/relationships/hyperlink" Target="http://www.ero.dk/B48698DD-D72E-4ED0-BE25-BD71FA729D8B?frames=no&amp;" TargetMode="External"/><Relationship Id="rId59" Type="http://schemas.openxmlformats.org/officeDocument/2006/relationships/hyperlink" Target="http://www.ero.dk/F2BE3C72-7EC7-422B-BABA-59B6C8FF8A30?frames=no&amp;" TargetMode="External"/><Relationship Id="rId67" Type="http://schemas.openxmlformats.org/officeDocument/2006/relationships/hyperlink" Target="http://www.ero.dk/0BD1D70B-4EA4-4924-AD14-50094D950873?frames=no&amp;" TargetMode="External"/><Relationship Id="rId20" Type="http://schemas.openxmlformats.org/officeDocument/2006/relationships/image" Target="media/image8.png"/><Relationship Id="rId41" Type="http://schemas.openxmlformats.org/officeDocument/2006/relationships/hyperlink" Target="http://www.ero.dk/52900DDF-F63E-4C5F-ADB4-EB092546E0E1?frames=no&amp;" TargetMode="External"/><Relationship Id="rId54" Type="http://schemas.openxmlformats.org/officeDocument/2006/relationships/hyperlink" Target="http://www.ero.dk/727EECAE-0F72-4AA6-B313-3D8BAFAF7B46?frames=no&amp;" TargetMode="External"/><Relationship Id="rId62" Type="http://schemas.openxmlformats.org/officeDocument/2006/relationships/hyperlink" Target="http://www.ero.dk/86B10603-7503-4BC4-8023-2C2666825D7E?frames=no&amp;" TargetMode="External"/><Relationship Id="rId70" Type="http://schemas.openxmlformats.org/officeDocument/2006/relationships/hyperlink" Target="http://www.ero.dk/01516C2F-8F84-40CF-AABC-50327B716C5C?frames=no&amp;" TargetMode="External"/><Relationship Id="rId75" Type="http://schemas.openxmlformats.org/officeDocument/2006/relationships/image" Target="media/image23.png"/><Relationship Id="rId83" Type="http://schemas.openxmlformats.org/officeDocument/2006/relationships/hyperlink" Target="http://www.pta.gov.pk/media/Pakistan_Table_of_Frequency_Allocations.pdf" TargetMode="External"/><Relationship Id="rId88" Type="http://schemas.openxmlformats.org/officeDocument/2006/relationships/header" Target="header5.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yperlink" Target="http://www.ero.dk/FACDD284-7C50-4799-9A56-8121B369EBC1?frames=no&amp;" TargetMode="External"/><Relationship Id="rId49" Type="http://schemas.openxmlformats.org/officeDocument/2006/relationships/hyperlink" Target="http://www.ero.dk/27DBE232-8B17-4C2C-9A75-6344AA62C36A?frames=no&amp;" TargetMode="External"/><Relationship Id="rId57" Type="http://schemas.openxmlformats.org/officeDocument/2006/relationships/hyperlink" Target="http://www.ero.dk/332CFBB7-79F7-4C47-ACEE-FD20E7BCE061?frames=no&amp;" TargetMode="External"/><Relationship Id="rId10" Type="http://schemas.openxmlformats.org/officeDocument/2006/relationships/header" Target="header2.xml"/><Relationship Id="rId31" Type="http://schemas.openxmlformats.org/officeDocument/2006/relationships/image" Target="media/image18.emf"/><Relationship Id="rId44" Type="http://schemas.openxmlformats.org/officeDocument/2006/relationships/hyperlink" Target="http://www.ero.dk/DD97B00D-9A9E-4094-8AAA-B2FF6019720C?frames=no&amp;" TargetMode="External"/><Relationship Id="rId52" Type="http://schemas.openxmlformats.org/officeDocument/2006/relationships/hyperlink" Target="http://www.ero.dk/7DBCE347-DC7B-41BF-8101-BF49BD168F5D?frames=no&amp;" TargetMode="External"/><Relationship Id="rId60" Type="http://schemas.openxmlformats.org/officeDocument/2006/relationships/hyperlink" Target="http://www.ero.dk/F281227B-E1D5-463B-B82D-57900A80AF47?frames=no&amp;" TargetMode="External"/><Relationship Id="rId65" Type="http://schemas.openxmlformats.org/officeDocument/2006/relationships/hyperlink" Target="http://www.ero.dk/F148A059-C160-47FB-8018-597CC4142240?frames=no&amp;" TargetMode="External"/><Relationship Id="rId73" Type="http://schemas.openxmlformats.org/officeDocument/2006/relationships/image" Target="media/image22.emf"/><Relationship Id="rId78" Type="http://schemas.openxmlformats.org/officeDocument/2006/relationships/hyperlink" Target="http://www.ic.gc.ca/eic/site/smt-gst.nsf/eng/sf09751.html" TargetMode="External"/><Relationship Id="rId81" Type="http://schemas.openxmlformats.org/officeDocument/2006/relationships/hyperlink" Target="http://www.tele.soumu.go.jp/e/adm/freq/search/share/plan.htm" TargetMode="External"/><Relationship Id="rId86" Type="http://schemas.openxmlformats.org/officeDocument/2006/relationships/hyperlink" Target="http://www.crasa.org/download.php?doc=doc_pub_eng64.pdf" TargetMode="External"/><Relationship Id="rId4" Type="http://schemas.microsoft.com/office/2007/relationships/stylesWithEffects" Target="stylesWithEffect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3" Type="http://schemas.openxmlformats.org/officeDocument/2006/relationships/hyperlink" Target="http://www.telekom.com/media/company/107626" TargetMode="External"/><Relationship Id="rId2" Type="http://schemas.openxmlformats.org/officeDocument/2006/relationships/hyperlink" Target="http://www.cept.org/files/1051/ECC/About%20ECC/ECC%20Strategic%20plan/ECC%20Strategic%20Plan%20rev%204.pdf" TargetMode="External"/><Relationship Id="rId1" Type="http://schemas.openxmlformats.org/officeDocument/2006/relationships/hyperlink" Target="http://www.cept.org/files/1051/ECC/About%20ECC/ECC%20Strategic%20plan/ECC%20Strategic%20Plan%20rev%204.pdf" TargetMode="External"/><Relationship Id="rId4" Type="http://schemas.openxmlformats.org/officeDocument/2006/relationships/hyperlink" Target="http://www.cept.org/ecc/groups/ecc/wg-fm/fm-50/client/meeting-document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3FA16A-F1F5-4E44-9F49-382A9A140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18376</Words>
  <Characters>101069</Characters>
  <Application>Microsoft Office Word</Application>
  <DocSecurity>0</DocSecurity>
  <Lines>842</Lines>
  <Paragraphs>238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New ECC Report Style</vt:lpstr>
      <vt:lpstr>New ECC Report Style</vt:lpstr>
    </vt:vector>
  </TitlesOfParts>
  <Company>ECO</Company>
  <LinksUpToDate>false</LinksUpToDate>
  <CharactersWithSpaces>119207</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dc:description>This template is used as guidance to draft ECC Reports.</dc:description>
  <cp:lastModifiedBy>DESCHAMPS Benoist</cp:lastModifiedBy>
  <cp:revision>2</cp:revision>
  <cp:lastPrinted>1901-01-01T00:00:00Z</cp:lastPrinted>
  <dcterms:created xsi:type="dcterms:W3CDTF">2012-04-13T22:31:00Z</dcterms:created>
  <dcterms:modified xsi:type="dcterms:W3CDTF">2012-04-13T22:31:00Z</dcterms:modified>
</cp:coreProperties>
</file>